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3241"/>
        <w:gridCol w:w="2540"/>
      </w:tblGrid>
      <w:tr w:rsidR="00B15DB4" w14:paraId="17C44ED3" w14:textId="77777777" w:rsidTr="00FF7B18">
        <w:trPr>
          <w:trHeight w:val="1410"/>
        </w:trPr>
        <w:tc>
          <w:tcPr>
            <w:tcW w:w="1537" w:type="pct"/>
            <w:vAlign w:val="center"/>
          </w:tcPr>
          <w:p w14:paraId="44A3C3FD" w14:textId="77777777" w:rsidR="00B15DB4" w:rsidRPr="00C92872" w:rsidRDefault="00B15DB4" w:rsidP="00705683">
            <w:pPr>
              <w:autoSpaceDE w:val="0"/>
              <w:autoSpaceDN w:val="0"/>
              <w:adjustRightInd w:val="0"/>
              <w:spacing w:after="120" w:line="240" w:lineRule="auto"/>
              <w:rPr>
                <w:rFonts w:ascii="Open Sans" w:hAnsi="Open Sans" w:cs="Open Sans"/>
                <w:color w:val="2B4B5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OpenSans-Semibold" w:hAnsi="OpenSans-Semibold" w:cs="OpenSans-Semibold"/>
                <w:noProof/>
                <w:color w:val="2B4C5A"/>
                <w:lang w:eastAsia="hu-HU"/>
              </w:rPr>
              <w:drawing>
                <wp:anchor distT="0" distB="0" distL="114300" distR="114300" simplePos="0" relativeHeight="251661312" behindDoc="0" locked="0" layoutInCell="1" allowOverlap="0" wp14:anchorId="1D54CD0F" wp14:editId="594B77C3">
                  <wp:simplePos x="0" y="0"/>
                  <wp:positionH relativeFrom="margin">
                    <wp:posOffset>-49530</wp:posOffset>
                  </wp:positionH>
                  <wp:positionV relativeFrom="margin">
                    <wp:posOffset>0</wp:posOffset>
                  </wp:positionV>
                  <wp:extent cx="1952625" cy="1028700"/>
                  <wp:effectExtent l="0" t="0" r="0" b="0"/>
                  <wp:wrapSquare wrapText="bothSides"/>
                  <wp:docPr id="8" name="Kép 1" descr="magyarcimer_szür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yarcimer_szür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5" w:type="pct"/>
          </w:tcPr>
          <w:p w14:paraId="59A29055" w14:textId="77777777" w:rsidR="00B15DB4" w:rsidRPr="00012F8F" w:rsidRDefault="00B15DB4" w:rsidP="00705683">
            <w:pPr>
              <w:spacing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39" w:type="pct"/>
            <w:vAlign w:val="center"/>
          </w:tcPr>
          <w:p w14:paraId="4C87FB66" w14:textId="77777777" w:rsidR="00B15DB4" w:rsidRPr="00C92872" w:rsidRDefault="00B15DB4" w:rsidP="00705683">
            <w:pPr>
              <w:spacing w:after="120" w:line="240" w:lineRule="auto"/>
              <w:rPr>
                <w:rFonts w:ascii="Open Sans" w:hAnsi="Open Sans" w:cs="Open Sans"/>
                <w:color w:val="2B4B5A"/>
                <w:sz w:val="20"/>
                <w:szCs w:val="20"/>
              </w:rPr>
            </w:pPr>
          </w:p>
        </w:tc>
      </w:tr>
    </w:tbl>
    <w:p w14:paraId="6110B52A" w14:textId="77777777" w:rsidR="00B15DB4" w:rsidRDefault="00B15DB4" w:rsidP="00705683">
      <w:pPr>
        <w:tabs>
          <w:tab w:val="left" w:pos="7815"/>
        </w:tabs>
        <w:spacing w:after="120" w:line="240" w:lineRule="auto"/>
      </w:pPr>
      <w:r>
        <w:tab/>
      </w:r>
    </w:p>
    <w:p w14:paraId="5902F528" w14:textId="77777777" w:rsidR="00B15DB4" w:rsidRPr="003371C7" w:rsidRDefault="00B15DB4" w:rsidP="00705683">
      <w:pPr>
        <w:spacing w:after="120" w:line="240" w:lineRule="auto"/>
        <w:jc w:val="center"/>
        <w:rPr>
          <w:rFonts w:ascii="Open Sans" w:hAnsi="Open Sans" w:cs="Open Sans"/>
          <w:noProof/>
          <w:sz w:val="20"/>
          <w:szCs w:val="20"/>
        </w:rPr>
      </w:pPr>
      <w:r w:rsidRPr="003371C7">
        <w:rPr>
          <w:rFonts w:ascii="OpenSans-Semibold" w:hAnsi="OpenSans-Semibold" w:cs="OpenSans-Semibold"/>
          <w:color w:val="2B4C5A"/>
        </w:rPr>
        <w:t>SAJTÓANYAG</w:t>
      </w:r>
    </w:p>
    <w:p w14:paraId="6183E4C2" w14:textId="77777777" w:rsidR="00DF3205" w:rsidRDefault="00DF3205" w:rsidP="00DF3205">
      <w:pPr>
        <w:pStyle w:val="NormlWeb"/>
        <w:shd w:val="clear" w:color="auto" w:fill="FFFFFF"/>
        <w:spacing w:before="0" w:beforeAutospacing="0" w:after="240" w:afterAutospacing="0"/>
        <w:jc w:val="center"/>
        <w:rPr>
          <w:rFonts w:ascii="Open Sans" w:hAnsi="Open Sans" w:cs="Open Sans"/>
          <w:b/>
          <w:color w:val="1C3943"/>
          <w:sz w:val="20"/>
          <w:szCs w:val="20"/>
          <w:lang w:val="hu-HU"/>
        </w:rPr>
      </w:pPr>
      <w:r w:rsidRPr="00A54B6B">
        <w:rPr>
          <w:rFonts w:ascii="Open Sans" w:hAnsi="Open Sans" w:cs="Open Sans"/>
          <w:b/>
          <w:color w:val="1C3943"/>
          <w:sz w:val="20"/>
          <w:szCs w:val="20"/>
          <w:lang w:val="hu-HU"/>
        </w:rPr>
        <w:t>2020: járványhelyzetben sem változott a nukleáris biztonság szintje</w:t>
      </w:r>
    </w:p>
    <w:p w14:paraId="1BEBCF87" w14:textId="77777777" w:rsidR="00DF3205" w:rsidRPr="00A54B6B" w:rsidRDefault="00DF3205" w:rsidP="00DF3205">
      <w:pPr>
        <w:pStyle w:val="NormlWeb"/>
        <w:shd w:val="clear" w:color="auto" w:fill="FFFFFF"/>
        <w:spacing w:before="0" w:beforeAutospacing="0" w:after="240" w:afterAutospacing="0"/>
        <w:jc w:val="center"/>
        <w:rPr>
          <w:rFonts w:ascii="Open Sans" w:hAnsi="Open Sans" w:cs="Open Sans"/>
          <w:b/>
          <w:color w:val="1C3943"/>
          <w:sz w:val="20"/>
          <w:szCs w:val="20"/>
          <w:lang w:val="hu-HU"/>
        </w:rPr>
      </w:pPr>
      <w:r>
        <w:rPr>
          <w:rFonts w:ascii="Open Sans" w:hAnsi="Open Sans" w:cs="Open Sans"/>
          <w:b/>
          <w:color w:val="1C3943"/>
          <w:sz w:val="20"/>
          <w:szCs w:val="20"/>
          <w:lang w:val="hu-HU"/>
        </w:rPr>
        <w:t xml:space="preserve">2021: létesítési engedélyezési eljárás a </w:t>
      </w:r>
      <w:proofErr w:type="gramStart"/>
      <w:r>
        <w:rPr>
          <w:rFonts w:ascii="Open Sans" w:hAnsi="Open Sans" w:cs="Open Sans"/>
          <w:b/>
          <w:color w:val="1C3943"/>
          <w:sz w:val="20"/>
          <w:szCs w:val="20"/>
          <w:lang w:val="hu-HU"/>
        </w:rPr>
        <w:t>fókuszban</w:t>
      </w:r>
      <w:proofErr w:type="gramEnd"/>
    </w:p>
    <w:p w14:paraId="40853AD8" w14:textId="6BC72892" w:rsidR="00B15DB4" w:rsidRPr="003371C7" w:rsidRDefault="00B15DB4" w:rsidP="00705683">
      <w:pPr>
        <w:autoSpaceDE w:val="0"/>
        <w:autoSpaceDN w:val="0"/>
        <w:adjustRightInd w:val="0"/>
        <w:spacing w:after="120" w:line="240" w:lineRule="auto"/>
        <w:jc w:val="center"/>
        <w:rPr>
          <w:rFonts w:ascii="OpenSans-Semibold" w:hAnsi="OpenSans-Semibold" w:cs="OpenSans-Semibold"/>
          <w:color w:val="2B4C5A"/>
        </w:rPr>
      </w:pPr>
      <w:r w:rsidRPr="003371C7">
        <w:rPr>
          <w:rFonts w:ascii="OpenSans-Semibold" w:hAnsi="OpenSans-Semibold" w:cs="OpenSans-Semibold"/>
          <w:color w:val="2B4C5A"/>
        </w:rPr>
        <w:t>Az Országos Atomenergia Hivatal</w:t>
      </w:r>
      <w:r w:rsidR="00F43C3D">
        <w:rPr>
          <w:rFonts w:ascii="OpenSans-Semibold" w:hAnsi="OpenSans-Semibold" w:cs="OpenSans-Semibold"/>
          <w:color w:val="2B4C5A"/>
        </w:rPr>
        <w:t xml:space="preserve"> </w:t>
      </w:r>
      <w:r w:rsidRPr="003371C7">
        <w:rPr>
          <w:rFonts w:ascii="OpenSans-Semibold" w:hAnsi="OpenSans-Semibold" w:cs="OpenSans-Semibold"/>
          <w:color w:val="2B4C5A"/>
        </w:rPr>
        <w:t xml:space="preserve">évindító </w:t>
      </w:r>
      <w:r w:rsidR="00BB2481">
        <w:rPr>
          <w:rFonts w:ascii="OpenSans-Semibold" w:hAnsi="OpenSans-Semibold" w:cs="OpenSans-Semibold"/>
          <w:color w:val="2B4C5A"/>
        </w:rPr>
        <w:t>elektronikus</w:t>
      </w:r>
      <w:r w:rsidR="00BB2481" w:rsidRPr="003371C7">
        <w:rPr>
          <w:rFonts w:ascii="OpenSans-Semibold" w:hAnsi="OpenSans-Semibold" w:cs="OpenSans-Semibold"/>
          <w:color w:val="2B4C5A"/>
        </w:rPr>
        <w:t xml:space="preserve"> </w:t>
      </w:r>
      <w:r w:rsidRPr="003371C7">
        <w:rPr>
          <w:rFonts w:ascii="OpenSans-Semibold" w:hAnsi="OpenSans-Semibold" w:cs="OpenSans-Semibold"/>
          <w:color w:val="2B4C5A"/>
        </w:rPr>
        <w:t>sajtótájékoztatója</w:t>
      </w:r>
    </w:p>
    <w:p w14:paraId="522F5146" w14:textId="526C5396" w:rsidR="00B15DB4" w:rsidRPr="003371C7" w:rsidRDefault="00DF3205" w:rsidP="00705683">
      <w:pPr>
        <w:autoSpaceDE w:val="0"/>
        <w:autoSpaceDN w:val="0"/>
        <w:adjustRightInd w:val="0"/>
        <w:spacing w:after="120" w:line="240" w:lineRule="auto"/>
        <w:jc w:val="center"/>
        <w:rPr>
          <w:rFonts w:ascii="OpenSans-Semibold" w:hAnsi="OpenSans-Semibold" w:cs="OpenSans-Semibold"/>
          <w:color w:val="2B4C5A"/>
        </w:rPr>
      </w:pPr>
      <w:r>
        <w:rPr>
          <w:rFonts w:ascii="OpenSans-Semibold" w:hAnsi="OpenSans-Semibold" w:cs="OpenSans-Semibold"/>
          <w:color w:val="2B4C5A"/>
        </w:rPr>
        <w:t xml:space="preserve">2021. január </w:t>
      </w:r>
      <w:r w:rsidR="00FF3DA7">
        <w:rPr>
          <w:rFonts w:ascii="OpenSans-Semibold" w:hAnsi="OpenSans-Semibold" w:cs="OpenSans-Semibold"/>
          <w:color w:val="2B4C5A"/>
        </w:rPr>
        <w:t>19</w:t>
      </w:r>
      <w:r w:rsidR="00BB2481">
        <w:rPr>
          <w:rFonts w:ascii="OpenSans-Semibold" w:hAnsi="OpenSans-Semibold" w:cs="OpenSans-Semibold"/>
          <w:color w:val="2B4C5A"/>
        </w:rPr>
        <w:t>.</w:t>
      </w:r>
    </w:p>
    <w:p w14:paraId="7C4DDE57" w14:textId="77777777" w:rsidR="006E271B" w:rsidRPr="003371C7" w:rsidRDefault="006E271B" w:rsidP="001A7A7F">
      <w:pPr>
        <w:autoSpaceDE w:val="0"/>
        <w:autoSpaceDN w:val="0"/>
        <w:adjustRightInd w:val="0"/>
        <w:spacing w:after="120" w:line="240" w:lineRule="auto"/>
        <w:jc w:val="center"/>
        <w:rPr>
          <w:rFonts w:ascii="OpenSans-Semibold" w:hAnsi="OpenSans-Semibold" w:cs="OpenSans-Semibold"/>
          <w:color w:val="2B4C5A"/>
        </w:rPr>
      </w:pPr>
    </w:p>
    <w:p w14:paraId="5257AFBB" w14:textId="2AF3AB15" w:rsidR="008E6CD2" w:rsidRPr="00A54B6B" w:rsidRDefault="008E6CD2" w:rsidP="008E6CD2">
      <w:pPr>
        <w:pStyle w:val="NormlWeb"/>
        <w:shd w:val="clear" w:color="auto" w:fill="FFFFFF"/>
        <w:spacing w:before="0" w:beforeAutospacing="0" w:after="240" w:afterAutospacing="0"/>
        <w:jc w:val="both"/>
        <w:rPr>
          <w:rFonts w:ascii="Open Sans" w:hAnsi="Open Sans" w:cs="Open Sans"/>
          <w:color w:val="1C3943"/>
          <w:sz w:val="20"/>
          <w:szCs w:val="20"/>
          <w:lang w:val="hu-HU"/>
        </w:rPr>
      </w:pPr>
      <w:r w:rsidRPr="00A54B6B">
        <w:rPr>
          <w:rFonts w:ascii="Open Sans" w:hAnsi="Open Sans" w:cs="Open Sans"/>
          <w:b/>
          <w:color w:val="1C3943"/>
          <w:sz w:val="20"/>
          <w:szCs w:val="20"/>
          <w:lang w:val="hu-HU"/>
        </w:rPr>
        <w:t>A 2020-as év a nukleáris terület számára is számos kihívást jelentett.</w:t>
      </w:r>
      <w:r w:rsidRPr="00A54B6B">
        <w:rPr>
          <w:rFonts w:ascii="Open Sans" w:hAnsi="Open Sans" w:cs="Open Sans"/>
          <w:color w:val="1C3943"/>
          <w:sz w:val="20"/>
          <w:szCs w:val="20"/>
          <w:lang w:val="hu-HU"/>
        </w:rPr>
        <w:t xml:space="preserve"> </w:t>
      </w:r>
      <w:r w:rsidR="00BB2481" w:rsidRPr="00A54B6B">
        <w:rPr>
          <w:rFonts w:ascii="Open Sans" w:hAnsi="Open Sans" w:cs="Open Sans"/>
          <w:color w:val="1C3943"/>
          <w:sz w:val="20"/>
          <w:szCs w:val="20"/>
          <w:lang w:val="hu-HU"/>
        </w:rPr>
        <w:t>Az OAH nyomon követte a nukleáris létesítmények</w:t>
      </w:r>
      <w:r w:rsidR="00FC1570">
        <w:rPr>
          <w:rFonts w:ascii="Open Sans" w:hAnsi="Open Sans" w:cs="Open Sans"/>
          <w:color w:val="1C3943"/>
          <w:sz w:val="20"/>
          <w:szCs w:val="20"/>
          <w:lang w:val="hu-HU"/>
        </w:rPr>
        <w:t>hez</w:t>
      </w:r>
      <w:r w:rsidR="00BB2481" w:rsidRPr="00A54B6B">
        <w:rPr>
          <w:rFonts w:ascii="Open Sans" w:hAnsi="Open Sans" w:cs="Open Sans"/>
          <w:color w:val="1C3943"/>
          <w:sz w:val="20"/>
          <w:szCs w:val="20"/>
          <w:lang w:val="hu-HU"/>
        </w:rPr>
        <w:t xml:space="preserve"> és </w:t>
      </w:r>
      <w:r w:rsidR="00FC1570">
        <w:rPr>
          <w:rFonts w:ascii="Open Sans" w:hAnsi="Open Sans" w:cs="Open Sans"/>
          <w:color w:val="1C3943"/>
          <w:sz w:val="20"/>
          <w:szCs w:val="20"/>
          <w:lang w:val="hu-HU"/>
        </w:rPr>
        <w:t xml:space="preserve">a </w:t>
      </w:r>
      <w:r w:rsidR="00BB2481" w:rsidRPr="00A54B6B">
        <w:rPr>
          <w:rFonts w:ascii="Open Sans" w:hAnsi="Open Sans" w:cs="Open Sans"/>
          <w:color w:val="1C3943"/>
          <w:sz w:val="20"/>
          <w:szCs w:val="20"/>
          <w:lang w:val="hu-HU"/>
        </w:rPr>
        <w:t xml:space="preserve">radioaktívhulladék-tárolókhoz kapcsolódó járványhelyzeti intézkedési terveket, folyamatosan ellenőrizte a létesítményeket, illetve az engedélyeseket, betartva a járványhelyzethez kapcsolódó </w:t>
      </w:r>
      <w:r w:rsidR="00FC1570">
        <w:rPr>
          <w:rFonts w:ascii="Open Sans" w:hAnsi="Open Sans" w:cs="Open Sans"/>
          <w:color w:val="1C3943"/>
          <w:sz w:val="20"/>
          <w:szCs w:val="20"/>
          <w:lang w:val="hu-HU"/>
        </w:rPr>
        <w:t xml:space="preserve">általános </w:t>
      </w:r>
      <w:r w:rsidR="00BB2481" w:rsidRPr="00A54B6B">
        <w:rPr>
          <w:rFonts w:ascii="Open Sans" w:hAnsi="Open Sans" w:cs="Open Sans"/>
          <w:color w:val="1C3943"/>
          <w:sz w:val="20"/>
          <w:szCs w:val="20"/>
          <w:lang w:val="hu-HU"/>
        </w:rPr>
        <w:t xml:space="preserve">óvintézkedéseket, </w:t>
      </w:r>
      <w:r w:rsidR="00FC1570">
        <w:rPr>
          <w:rFonts w:ascii="Open Sans" w:hAnsi="Open Sans" w:cs="Open Sans"/>
          <w:color w:val="1C3943"/>
          <w:sz w:val="20"/>
          <w:szCs w:val="20"/>
          <w:lang w:val="hu-HU"/>
        </w:rPr>
        <w:t>valamint</w:t>
      </w:r>
      <w:r w:rsidR="00BB2481" w:rsidRPr="00A54B6B">
        <w:rPr>
          <w:rFonts w:ascii="Open Sans" w:hAnsi="Open Sans" w:cs="Open Sans"/>
          <w:color w:val="1C3943"/>
          <w:sz w:val="20"/>
          <w:szCs w:val="20"/>
          <w:lang w:val="hu-HU"/>
        </w:rPr>
        <w:t xml:space="preserve"> az engedélyesek egyedi </w:t>
      </w:r>
      <w:r w:rsidR="00FC1570">
        <w:rPr>
          <w:rFonts w:ascii="Open Sans" w:hAnsi="Open Sans" w:cs="Open Sans"/>
          <w:color w:val="1C3943"/>
          <w:sz w:val="20"/>
          <w:szCs w:val="20"/>
          <w:lang w:val="hu-HU"/>
        </w:rPr>
        <w:t xml:space="preserve">járványügyi </w:t>
      </w:r>
      <w:r w:rsidR="00BB2481" w:rsidRPr="00A54B6B">
        <w:rPr>
          <w:rFonts w:ascii="Open Sans" w:hAnsi="Open Sans" w:cs="Open Sans"/>
          <w:color w:val="1C3943"/>
          <w:sz w:val="20"/>
          <w:szCs w:val="20"/>
          <w:lang w:val="hu-HU"/>
        </w:rPr>
        <w:t>szabály</w:t>
      </w:r>
      <w:r w:rsidR="00FC1570">
        <w:rPr>
          <w:rFonts w:ascii="Open Sans" w:hAnsi="Open Sans" w:cs="Open Sans"/>
          <w:color w:val="1C3943"/>
          <w:sz w:val="20"/>
          <w:szCs w:val="20"/>
          <w:lang w:val="hu-HU"/>
        </w:rPr>
        <w:t xml:space="preserve">ait </w:t>
      </w:r>
      <w:r w:rsidR="00BB2481" w:rsidRPr="00A54B6B">
        <w:rPr>
          <w:rFonts w:ascii="Open Sans" w:hAnsi="Open Sans" w:cs="Open Sans"/>
          <w:color w:val="1C3943"/>
          <w:sz w:val="20"/>
          <w:szCs w:val="20"/>
          <w:lang w:val="hu-HU"/>
        </w:rPr>
        <w:t xml:space="preserve">is. </w:t>
      </w:r>
      <w:r w:rsidRPr="00A54B6B">
        <w:rPr>
          <w:rFonts w:ascii="Open Sans" w:hAnsi="Open Sans" w:cs="Open Sans"/>
          <w:color w:val="1C3943"/>
          <w:sz w:val="20"/>
          <w:szCs w:val="20"/>
          <w:lang w:val="hu-HU"/>
        </w:rPr>
        <w:t xml:space="preserve">A járványhelyzet miatt márciustól kezdve az összes hivatalos út, a belföldi rendezvények, továbbá a tervezett nemzetközi felülvizsgálatok elmaradtak, a nemzetközi szervezetek üléseire online került sor, az OAH munkatársai </w:t>
      </w:r>
      <w:r w:rsidR="00DF3205">
        <w:rPr>
          <w:rFonts w:ascii="Open Sans" w:hAnsi="Open Sans" w:cs="Open Sans"/>
          <w:color w:val="1C3943"/>
          <w:sz w:val="20"/>
          <w:szCs w:val="20"/>
          <w:lang w:val="hu-HU"/>
        </w:rPr>
        <w:t xml:space="preserve">(egy rövidebb nyári időszakot kivéve) </w:t>
      </w:r>
      <w:r w:rsidRPr="00A54B6B">
        <w:rPr>
          <w:rFonts w:ascii="Open Sans" w:hAnsi="Open Sans" w:cs="Open Sans"/>
          <w:color w:val="1C3943"/>
          <w:sz w:val="20"/>
          <w:szCs w:val="20"/>
          <w:lang w:val="hu-HU"/>
        </w:rPr>
        <w:t xml:space="preserve">távmunkában látták el feladataikat. </w:t>
      </w:r>
    </w:p>
    <w:p w14:paraId="2616BBF8" w14:textId="4F1F11D4" w:rsidR="00A11C0B" w:rsidRDefault="008E6CD2" w:rsidP="008E6CD2">
      <w:pPr>
        <w:jc w:val="both"/>
        <w:rPr>
          <w:rFonts w:ascii="Open Sans" w:hAnsi="Open Sans"/>
          <w:color w:val="1C3943"/>
          <w:sz w:val="20"/>
          <w:shd w:val="clear" w:color="auto" w:fill="FFFFFF"/>
        </w:rPr>
      </w:pPr>
      <w:r w:rsidRPr="003371C7">
        <w:rPr>
          <w:rFonts w:ascii="Open Sans" w:hAnsi="Open Sans" w:cs="Open Sans"/>
          <w:b/>
          <w:color w:val="1C3943"/>
          <w:sz w:val="20"/>
          <w:szCs w:val="20"/>
        </w:rPr>
        <w:t xml:space="preserve">Az atomenergia felhasználása az elmúlt év során, biztonságosan </w:t>
      </w:r>
      <w:r w:rsidR="00F34A77">
        <w:rPr>
          <w:rFonts w:ascii="Open Sans" w:hAnsi="Open Sans" w:cs="Open Sans"/>
          <w:b/>
          <w:color w:val="1C3943"/>
          <w:sz w:val="20"/>
          <w:szCs w:val="20"/>
        </w:rPr>
        <w:t xml:space="preserve">és védetten </w:t>
      </w:r>
      <w:r w:rsidRPr="003371C7">
        <w:rPr>
          <w:rFonts w:ascii="Open Sans" w:hAnsi="Open Sans" w:cs="Open Sans"/>
          <w:b/>
          <w:color w:val="1C3943"/>
          <w:sz w:val="20"/>
          <w:szCs w:val="20"/>
        </w:rPr>
        <w:t>zajlott.</w:t>
      </w:r>
      <w:r w:rsidRPr="003371C7">
        <w:rPr>
          <w:rFonts w:ascii="Open Sans" w:hAnsi="Open Sans" w:cs="Open Sans"/>
          <w:color w:val="1C3943"/>
          <w:sz w:val="20"/>
          <w:szCs w:val="20"/>
        </w:rPr>
        <w:t xml:space="preserve"> Az OAH az év során folyamatosan felügyelte a nukleáris és a radioaktívhulladék-tároló létesítményeket</w:t>
      </w:r>
      <w:r>
        <w:rPr>
          <w:rFonts w:ascii="Open Sans" w:hAnsi="Open Sans" w:cs="Open Sans"/>
          <w:color w:val="1C3943"/>
          <w:sz w:val="20"/>
          <w:szCs w:val="20"/>
        </w:rPr>
        <w:t>, valamint</w:t>
      </w:r>
      <w:r w:rsidRPr="003371C7">
        <w:rPr>
          <w:rFonts w:ascii="Open Sans" w:hAnsi="Open Sans" w:cs="Open Sans"/>
          <w:color w:val="1C3943"/>
          <w:sz w:val="20"/>
          <w:szCs w:val="20"/>
        </w:rPr>
        <w:t xml:space="preserve"> az atomenergia egyéb alkalmazását (pl. radioaktív források használata, röntgengépek). Ennek során 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engedélyezte, ellenőrizte, értékelte a több mint 4000 engedélyes tevékenységét és szükség esetén érvényesítési eljárásokat folytatott le. 2020-ban a nukleáris létesítmények (a Paksi Atomerőmű, a Budapesti Kutatóreaktor, </w:t>
      </w:r>
      <w:r w:rsidR="00FC157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az 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Oktatóreaktor, a Kiégett Kazetták Átmeneti Tárolója), továbbá a radioaktívhulladék-tárolók (a Nemzeti Radioaktívhulladék-tároló és a Radioaktív Hulladék Feldolgozó és Tároló) biztonságosan, az előírt feltételek és korlátok mellett üzemeltek, működésük nem jelentett egészségikockázat-növekedést sem a létesítmények alkalmazottjaira, sem a lakosságra. A lakosság és a munkavállalók </w:t>
      </w:r>
      <w:r w:rsidR="00450943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sugár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terhelése nem lépte túl a korlátokat</w:t>
      </w:r>
      <w:r w:rsidR="00B618C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sem a nukleáris létesítmények, sem az egyéb alkalmazások esetében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. </w:t>
      </w:r>
      <w:r w:rsidRPr="007E6E58">
        <w:rPr>
          <w:rFonts w:ascii="Open Sans" w:hAnsi="Open Sans"/>
          <w:color w:val="1C3943"/>
          <w:sz w:val="20"/>
          <w:shd w:val="clear" w:color="auto" w:fill="FFFFFF"/>
        </w:rPr>
        <w:t>A</w:t>
      </w:r>
      <w:r w:rsidR="00CF10E3" w:rsidRPr="007E6E58">
        <w:rPr>
          <w:rFonts w:ascii="Open Sans" w:hAnsi="Open Sans"/>
          <w:color w:val="1C3943"/>
          <w:sz w:val="20"/>
          <w:shd w:val="clear" w:color="auto" w:fill="FFFFFF"/>
        </w:rPr>
        <w:t xml:space="preserve">z OAH </w:t>
      </w:r>
      <w:r w:rsidR="00CF10E3"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3</w:t>
      </w:r>
      <w:r w:rsidR="004F52AD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1</w:t>
      </w:r>
      <w:r w:rsidRPr="007E6E58">
        <w:rPr>
          <w:rFonts w:ascii="Open Sans" w:hAnsi="Open Sans"/>
          <w:color w:val="1C3943"/>
          <w:sz w:val="20"/>
          <w:shd w:val="clear" w:color="auto" w:fill="FFFFFF"/>
        </w:rPr>
        <w:t xml:space="preserve"> eseményről kapott bejelentést. A nukleáris létesítményekben és a </w:t>
      </w:r>
      <w:r w:rsidR="00CF10E3" w:rsidRPr="007E6E58">
        <w:rPr>
          <w:rFonts w:ascii="Open Sans" w:hAnsi="Open Sans"/>
          <w:color w:val="1C3943"/>
          <w:sz w:val="20"/>
          <w:shd w:val="clear" w:color="auto" w:fill="FFFFFF"/>
        </w:rPr>
        <w:t xml:space="preserve">radioaktívhulladék-tárolókban </w:t>
      </w:r>
      <w:r w:rsidR="00CF10E3"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27</w:t>
      </w:r>
      <w:r w:rsidRPr="007E6E58">
        <w:rPr>
          <w:rFonts w:ascii="Open Sans" w:hAnsi="Open Sans"/>
          <w:color w:val="1C3943"/>
          <w:sz w:val="20"/>
          <w:shd w:val="clear" w:color="auto" w:fill="FFFFFF"/>
        </w:rPr>
        <w:t xml:space="preserve"> nukleáris biztonsági</w:t>
      </w:r>
      <w:r w:rsidR="004F52AD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,</w:t>
      </w:r>
      <w:r w:rsidR="004F52AD" w:rsidRPr="007E6E58">
        <w:rPr>
          <w:rFonts w:ascii="Open Sans" w:hAnsi="Open Sans"/>
          <w:color w:val="1C3943"/>
          <w:sz w:val="20"/>
          <w:shd w:val="clear" w:color="auto" w:fill="FFFFFF"/>
        </w:rPr>
        <w:t xml:space="preserve"> 1 fizikai </w:t>
      </w:r>
      <w:r w:rsidRPr="007E6E58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védelemhez, továbbá </w:t>
      </w:r>
      <w:r w:rsidR="00254A64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az egyéb létesítményekben </w:t>
      </w:r>
      <w:r w:rsidR="00CF10E3"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3</w:t>
      </w:r>
      <w:r w:rsidRPr="007E6E58">
        <w:rPr>
          <w:rFonts w:ascii="Open Sans" w:hAnsi="Open Sans"/>
          <w:color w:val="1C3943"/>
          <w:sz w:val="20"/>
          <w:shd w:val="clear" w:color="auto" w:fill="FFFFFF"/>
        </w:rPr>
        <w:t xml:space="preserve"> sugárvédelemhez kapcsolódó jelentésköteles eseményt vizsgált ki az OAH</w:t>
      </w:r>
      <w:r w:rsidR="00A11C0B">
        <w:rPr>
          <w:rFonts w:ascii="Open Sans" w:hAnsi="Open Sans"/>
          <w:color w:val="1C3943"/>
          <w:sz w:val="20"/>
          <w:shd w:val="clear" w:color="auto" w:fill="FFFFFF"/>
        </w:rPr>
        <w:t>.</w:t>
      </w:r>
    </w:p>
    <w:p w14:paraId="18F2C355" w14:textId="77777777" w:rsidR="00A11C0B" w:rsidRDefault="00A11C0B">
      <w:pPr>
        <w:rPr>
          <w:rFonts w:ascii="Open Sans" w:hAnsi="Open Sans"/>
          <w:color w:val="1C3943"/>
          <w:sz w:val="20"/>
          <w:shd w:val="clear" w:color="auto" w:fill="FFFFFF"/>
        </w:rPr>
      </w:pPr>
      <w:r>
        <w:rPr>
          <w:rFonts w:ascii="Open Sans" w:hAnsi="Open Sans"/>
          <w:color w:val="1C3943"/>
          <w:sz w:val="20"/>
          <w:shd w:val="clear" w:color="auto" w:fill="FFFFFF"/>
        </w:rPr>
        <w:br w:type="page"/>
      </w:r>
    </w:p>
    <w:p w14:paraId="582E4BFF" w14:textId="5749E7EB" w:rsidR="00CF10E3" w:rsidRDefault="00CF10E3" w:rsidP="008E6CD2">
      <w:pPr>
        <w:jc w:val="both"/>
        <w:rPr>
          <w:noProof/>
          <w:lang w:eastAsia="hu-HU"/>
        </w:rPr>
      </w:pPr>
    </w:p>
    <w:tbl>
      <w:tblPr>
        <w:tblStyle w:val="Rcsostblzat"/>
        <w:tblW w:w="0" w:type="auto"/>
        <w:tblInd w:w="-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395"/>
        <w:gridCol w:w="4395"/>
      </w:tblGrid>
      <w:tr w:rsidR="00A11C0B" w:rsidRPr="00BB2481" w14:paraId="33AE93B4" w14:textId="228FAEA8" w:rsidTr="00F35A8C">
        <w:tc>
          <w:tcPr>
            <w:tcW w:w="8790" w:type="dxa"/>
            <w:gridSpan w:val="2"/>
            <w:shd w:val="clear" w:color="auto" w:fill="1F4E79" w:themeFill="accent1" w:themeFillShade="80"/>
          </w:tcPr>
          <w:p w14:paraId="7D2C29D6" w14:textId="7CC346A7" w:rsidR="00A11C0B" w:rsidRPr="00BB2481" w:rsidRDefault="00BB2481" w:rsidP="007E6E58">
            <w:pPr>
              <w:jc w:val="center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Jelentésköteles e</w:t>
            </w:r>
            <w:r w:rsidR="00A11C0B" w:rsidRPr="007E6E58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semények létes</w:t>
            </w:r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í</w:t>
            </w:r>
            <w:r w:rsidR="00A11C0B" w:rsidRPr="007E6E58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tmény szerinti megoszlása</w:t>
            </w:r>
          </w:p>
        </w:tc>
      </w:tr>
      <w:tr w:rsidR="00A11C0B" w14:paraId="0657F106" w14:textId="224DE989" w:rsidTr="006705DD">
        <w:tc>
          <w:tcPr>
            <w:tcW w:w="4395" w:type="dxa"/>
          </w:tcPr>
          <w:p w14:paraId="4B654013" w14:textId="6BB2A909" w:rsidR="00A11C0B" w:rsidRPr="007E6E58" w:rsidRDefault="00A11C0B">
            <w:pPr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</w:pPr>
            <w:r w:rsidRPr="007E6E58"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  <w:t>Paksi Atomerőmű (PAE): 20 db (ebből 1 db fizikai védelem)</w:t>
            </w:r>
          </w:p>
        </w:tc>
        <w:tc>
          <w:tcPr>
            <w:tcW w:w="4395" w:type="dxa"/>
            <w:vMerge w:val="restart"/>
          </w:tcPr>
          <w:p w14:paraId="2204EABD" w14:textId="1E1935E3" w:rsidR="00A11C0B" w:rsidRPr="00BB2481" w:rsidRDefault="00A11C0B" w:rsidP="00866008">
            <w:pPr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48351796" wp14:editId="37D6B254">
                  <wp:extent cx="2346538" cy="2202511"/>
                  <wp:effectExtent l="0" t="0" r="0" b="7620"/>
                  <wp:docPr id="7" name="Kép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013" cy="2214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C0B" w14:paraId="2886E692" w14:textId="31AE1074" w:rsidTr="006705DD">
        <w:tc>
          <w:tcPr>
            <w:tcW w:w="4395" w:type="dxa"/>
            <w:shd w:val="clear" w:color="auto" w:fill="DEEAF6" w:themeFill="accent1" w:themeFillTint="33"/>
          </w:tcPr>
          <w:p w14:paraId="76C617AB" w14:textId="77777777" w:rsidR="00A11C0B" w:rsidRPr="007E6E58" w:rsidRDefault="00A11C0B" w:rsidP="00866008">
            <w:pPr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</w:pPr>
            <w:r w:rsidRPr="007E6E58"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  <w:t>Budapesti Kutatóreaktor (BKR): 3 db</w:t>
            </w:r>
          </w:p>
        </w:tc>
        <w:tc>
          <w:tcPr>
            <w:tcW w:w="4395" w:type="dxa"/>
            <w:vMerge/>
            <w:shd w:val="clear" w:color="auto" w:fill="DEEAF6" w:themeFill="accent1" w:themeFillTint="33"/>
          </w:tcPr>
          <w:p w14:paraId="7DBA0A07" w14:textId="77777777" w:rsidR="00A11C0B" w:rsidRPr="00BB2481" w:rsidRDefault="00A11C0B" w:rsidP="00866008">
            <w:pPr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</w:pPr>
          </w:p>
        </w:tc>
      </w:tr>
      <w:tr w:rsidR="00A11C0B" w14:paraId="1F1E5412" w14:textId="651FB137" w:rsidTr="006705DD">
        <w:tc>
          <w:tcPr>
            <w:tcW w:w="4395" w:type="dxa"/>
          </w:tcPr>
          <w:p w14:paraId="5A4834CC" w14:textId="77777777" w:rsidR="00A11C0B" w:rsidRPr="007E6E58" w:rsidRDefault="00A11C0B" w:rsidP="00866008">
            <w:pPr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</w:pPr>
            <w:r w:rsidRPr="007E6E58"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  <w:t>BME NTI Oktatóreaktor (OR): 2 db</w:t>
            </w:r>
          </w:p>
        </w:tc>
        <w:tc>
          <w:tcPr>
            <w:tcW w:w="4395" w:type="dxa"/>
            <w:vMerge/>
          </w:tcPr>
          <w:p w14:paraId="0BDE82CB" w14:textId="77777777" w:rsidR="00A11C0B" w:rsidRPr="00BB2481" w:rsidRDefault="00A11C0B" w:rsidP="00866008">
            <w:pPr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</w:pPr>
          </w:p>
        </w:tc>
      </w:tr>
      <w:tr w:rsidR="00A11C0B" w14:paraId="3C1579A7" w14:textId="724C6A3A" w:rsidTr="006705DD">
        <w:tc>
          <w:tcPr>
            <w:tcW w:w="4395" w:type="dxa"/>
          </w:tcPr>
          <w:p w14:paraId="698C07D6" w14:textId="77777777" w:rsidR="00A11C0B" w:rsidRPr="007E6E58" w:rsidRDefault="00A11C0B" w:rsidP="00866008">
            <w:pPr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</w:pPr>
            <w:r w:rsidRPr="007E6E58"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  <w:t>Püspökszilágyi Radioaktív Hulladék Feldolgozó és Tároló (RHFT): 2 db</w:t>
            </w:r>
          </w:p>
        </w:tc>
        <w:tc>
          <w:tcPr>
            <w:tcW w:w="4395" w:type="dxa"/>
            <w:vMerge/>
          </w:tcPr>
          <w:p w14:paraId="78943405" w14:textId="77777777" w:rsidR="00A11C0B" w:rsidRPr="00BB2481" w:rsidRDefault="00A11C0B" w:rsidP="00866008">
            <w:pPr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</w:pPr>
          </w:p>
        </w:tc>
      </w:tr>
      <w:tr w:rsidR="00A11C0B" w14:paraId="66AC9E61" w14:textId="689C94E2" w:rsidTr="006705DD">
        <w:tc>
          <w:tcPr>
            <w:tcW w:w="4395" w:type="dxa"/>
            <w:shd w:val="clear" w:color="auto" w:fill="DEEAF6" w:themeFill="accent1" w:themeFillTint="33"/>
          </w:tcPr>
          <w:p w14:paraId="1EE8DE80" w14:textId="77777777" w:rsidR="00A11C0B" w:rsidRPr="007E6E58" w:rsidRDefault="00A11C0B" w:rsidP="00866008">
            <w:pPr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</w:pPr>
            <w:r w:rsidRPr="007E6E58"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  <w:t>Bátaapáti Nemzeti Radioaktívhulladék-tároló (NRHT): 1 db</w:t>
            </w:r>
          </w:p>
        </w:tc>
        <w:tc>
          <w:tcPr>
            <w:tcW w:w="4395" w:type="dxa"/>
            <w:vMerge/>
            <w:shd w:val="clear" w:color="auto" w:fill="DEEAF6" w:themeFill="accent1" w:themeFillTint="33"/>
          </w:tcPr>
          <w:p w14:paraId="5A087FB0" w14:textId="77777777" w:rsidR="00A11C0B" w:rsidRPr="00BB2481" w:rsidRDefault="00A11C0B" w:rsidP="00866008">
            <w:pPr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</w:pPr>
          </w:p>
        </w:tc>
      </w:tr>
      <w:tr w:rsidR="00A11C0B" w14:paraId="75728F78" w14:textId="131757C2" w:rsidTr="006705DD">
        <w:tc>
          <w:tcPr>
            <w:tcW w:w="4395" w:type="dxa"/>
          </w:tcPr>
          <w:p w14:paraId="0744CCD4" w14:textId="77777777" w:rsidR="00A11C0B" w:rsidRPr="007E6E58" w:rsidRDefault="00A11C0B" w:rsidP="00866008">
            <w:pPr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</w:pPr>
            <w:r w:rsidRPr="007E6E58"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  <w:t>Kiégett Kazetták Átmeneti Tárolója (KKÁT): 0 db</w:t>
            </w:r>
          </w:p>
        </w:tc>
        <w:tc>
          <w:tcPr>
            <w:tcW w:w="4395" w:type="dxa"/>
            <w:vMerge/>
          </w:tcPr>
          <w:p w14:paraId="018E78A2" w14:textId="77777777" w:rsidR="00A11C0B" w:rsidRPr="00BB2481" w:rsidRDefault="00A11C0B" w:rsidP="00866008">
            <w:pPr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</w:pPr>
          </w:p>
        </w:tc>
      </w:tr>
      <w:tr w:rsidR="00A11C0B" w14:paraId="08007335" w14:textId="51B69972" w:rsidTr="006705DD">
        <w:tc>
          <w:tcPr>
            <w:tcW w:w="4395" w:type="dxa"/>
            <w:shd w:val="clear" w:color="auto" w:fill="DEEAF6" w:themeFill="accent1" w:themeFillTint="33"/>
          </w:tcPr>
          <w:p w14:paraId="46F6E01C" w14:textId="10DAB828" w:rsidR="00A11C0B" w:rsidRPr="007E6E58" w:rsidRDefault="00FC1570" w:rsidP="007E6E58">
            <w:pPr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</w:pPr>
            <w:r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  <w:t>E</w:t>
            </w:r>
            <w:r w:rsidR="00A11C0B" w:rsidRPr="007E6E58"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  <w:t>gyéb létesítmények: 3 db</w:t>
            </w:r>
            <w:r w:rsidR="007E6E58"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  <w:t xml:space="preserve"> (s</w:t>
            </w:r>
            <w:r w:rsidR="007E6E58" w:rsidRPr="007C57AF"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  <w:t>ugárvédelem</w:t>
            </w:r>
            <w:r w:rsidR="007E6E58"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  <w:t>)</w:t>
            </w:r>
          </w:p>
        </w:tc>
        <w:tc>
          <w:tcPr>
            <w:tcW w:w="4395" w:type="dxa"/>
            <w:vMerge/>
            <w:shd w:val="clear" w:color="auto" w:fill="DEEAF6" w:themeFill="accent1" w:themeFillTint="33"/>
          </w:tcPr>
          <w:p w14:paraId="652985E7" w14:textId="77777777" w:rsidR="00A11C0B" w:rsidRPr="00BB2481" w:rsidRDefault="00A11C0B" w:rsidP="00866008">
            <w:pPr>
              <w:rPr>
                <w:rFonts w:ascii="Open Sans" w:hAnsi="Open Sans" w:cs="Open Sans"/>
                <w:color w:val="1F4E79" w:themeColor="accent1" w:themeShade="80"/>
                <w:sz w:val="20"/>
                <w:szCs w:val="20"/>
              </w:rPr>
            </w:pPr>
          </w:p>
        </w:tc>
      </w:tr>
      <w:tr w:rsidR="00A11C0B" w:rsidRPr="00BB2481" w14:paraId="6D67D2E2" w14:textId="77777777" w:rsidTr="007E6E58">
        <w:tc>
          <w:tcPr>
            <w:tcW w:w="8790" w:type="dxa"/>
            <w:gridSpan w:val="2"/>
            <w:shd w:val="clear" w:color="auto" w:fill="1F4E79" w:themeFill="accent1" w:themeFillShade="80"/>
          </w:tcPr>
          <w:p w14:paraId="20580FEE" w14:textId="525E1D7A" w:rsidR="00A11C0B" w:rsidRPr="007E6E58" w:rsidRDefault="00A11C0B" w:rsidP="007E6E58">
            <w:pPr>
              <w:jc w:val="center"/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Az események besorolása INES 0</w:t>
            </w:r>
          </w:p>
        </w:tc>
      </w:tr>
    </w:tbl>
    <w:p w14:paraId="4C6EBB39" w14:textId="77777777" w:rsidR="00A11C0B" w:rsidRDefault="00A11C0B" w:rsidP="008E6CD2">
      <w:p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</w:p>
    <w:p w14:paraId="206707B6" w14:textId="17863DA0" w:rsidR="00073399" w:rsidRDefault="004F52AD" w:rsidP="008E6CD2">
      <w:p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 </w:t>
      </w:r>
      <w:r w:rsidR="00073399"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2019</w:t>
      </w: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. évi adatokhoz</w:t>
      </w:r>
      <w:r w:rsidR="00073399"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képest a Paksi Atomerőmű </w:t>
      </w:r>
      <w:r w:rsidR="001C2828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nukleáris biztonsági </w:t>
      </w:r>
      <w:r w:rsidR="00073399"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jelentésköteles ese</w:t>
      </w:r>
      <w:r w:rsidR="00F56E4A"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ményeinek száma </w:t>
      </w:r>
      <w:r w:rsidR="00073399"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n</w:t>
      </w: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övekedett (1</w:t>
      </w:r>
      <w:r w:rsidR="00DF63A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0</w:t>
      </w: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-r</w:t>
      </w:r>
      <w:r w:rsidR="00DF63A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ő</w:t>
      </w: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l </w:t>
      </w:r>
      <w:r w:rsidR="00DF63A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19</w:t>
      </w: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-re). A változás jellemzően </w:t>
      </w:r>
      <w:r w:rsidR="00BB24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elektromos meghibásodásokra</w:t>
      </w:r>
      <w:r w:rsidR="009F5C3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(pl.: megszakítóhiba, zárlat) </w:t>
      </w:r>
      <w:r w:rsidR="00F56E4A"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vezethető vissza</w:t>
      </w:r>
      <w:r w:rsidR="00073399"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. Az események során a nukleáris biztonság nem volt veszélyeztetve</w:t>
      </w:r>
      <w:r w:rsidR="00F1085C"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, az események a hétfokozatú Nemzetközi Nukleáris Esemény Skálán (INES) a legalacsonyabb,</w:t>
      </w:r>
      <w:r w:rsidR="00220CF7"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skála alatt</w:t>
      </w:r>
      <w:r w:rsidR="00FC157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i</w:t>
      </w:r>
      <w:r w:rsidR="00F1085C"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0 besorolást kapták.</w:t>
      </w:r>
    </w:p>
    <w:p w14:paraId="08FD8A27" w14:textId="0C0E6C8D" w:rsidR="007879F6" w:rsidRDefault="008E6CD2" w:rsidP="008E6CD2">
      <w:p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2020 elején új hatáskör került az OAH-hoz, így a radioaktív anyagok belvízi </w:t>
      </w:r>
      <w:r w:rsidR="00A27A7E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szállításához 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és fuvarozásá</w:t>
      </w:r>
      <w:r w:rsidR="00A27A7E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hoz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a hivatal </w:t>
      </w:r>
      <w:r w:rsidR="00A27A7E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engedélye szükséges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.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r w:rsidR="00A27A7E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2020-ban ilyen ügy nem volt.</w:t>
      </w:r>
    </w:p>
    <w:p w14:paraId="720E73BB" w14:textId="59F59C61" w:rsidR="00BB2481" w:rsidRDefault="007D0769" w:rsidP="007879F6">
      <w:pPr>
        <w:jc w:val="both"/>
        <w:rPr>
          <w:rFonts w:ascii="Open Sans" w:hAnsi="Open Sans" w:cs="Open Sans"/>
          <w:b/>
          <w:color w:val="1C3943"/>
          <w:sz w:val="20"/>
          <w:szCs w:val="20"/>
          <w:highlight w:val="yellow"/>
          <w:shd w:val="clear" w:color="auto" w:fill="FFFFFF"/>
        </w:rPr>
      </w:pPr>
      <w:r w:rsidRPr="007E6E58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 xml:space="preserve">A hivatal követi és biztonság szempontjából értékeli a Paksi Atomerőmű </w:t>
      </w:r>
      <w:r w:rsidR="00596088" w:rsidRPr="007E6E58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 xml:space="preserve">nem tervezett </w:t>
      </w:r>
      <w:r w:rsidRPr="007E6E58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teljesítményváltozásait</w:t>
      </w:r>
      <w:r w:rsidR="00A96D2C" w:rsidRPr="007E6E58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. Az év során 10 eset történt, amelyek a nukleáris biztonságot nem veszélyeztették</w:t>
      </w:r>
      <w:r w:rsidRPr="007E6E58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461"/>
      </w:tblGrid>
      <w:tr w:rsidR="00BB2481" w14:paraId="4795FAD3" w14:textId="77777777" w:rsidTr="003A3362">
        <w:tc>
          <w:tcPr>
            <w:tcW w:w="9072" w:type="dxa"/>
            <w:gridSpan w:val="2"/>
            <w:shd w:val="clear" w:color="auto" w:fill="1F4E79" w:themeFill="accent1" w:themeFillShade="80"/>
          </w:tcPr>
          <w:p w14:paraId="00BF57BF" w14:textId="654F9412" w:rsidR="00BB2481" w:rsidRDefault="00BB2481" w:rsidP="007879F6">
            <w:pPr>
              <w:jc w:val="both"/>
              <w:rPr>
                <w:rFonts w:ascii="Open Sans" w:hAnsi="Open Sans" w:cs="Open Sans"/>
                <w:b/>
                <w:color w:val="1C3943"/>
                <w:sz w:val="20"/>
                <w:szCs w:val="20"/>
                <w:highlight w:val="yellow"/>
                <w:shd w:val="clear" w:color="auto" w:fill="FFFFFF"/>
              </w:rPr>
            </w:pPr>
            <w:r w:rsidRPr="00BB2481">
              <w:rPr>
                <w:rFonts w:ascii="Open Sans" w:hAnsi="Open Sans" w:cs="Open Sans"/>
                <w:color w:val="FFFFFF" w:themeColor="background1"/>
                <w:sz w:val="20"/>
                <w:szCs w:val="20"/>
              </w:rPr>
              <w:t>A Paksi Atomerőmű blokkjainak 10%-ot meghaladó leterhelései 2020-ban</w:t>
            </w:r>
          </w:p>
        </w:tc>
      </w:tr>
      <w:tr w:rsidR="00BB2481" w14:paraId="306FDB80" w14:textId="77777777" w:rsidTr="00BB2481">
        <w:tc>
          <w:tcPr>
            <w:tcW w:w="4611" w:type="dxa"/>
          </w:tcPr>
          <w:p w14:paraId="0C15BF0E" w14:textId="3E8DAA64" w:rsidR="00BB2481" w:rsidRPr="00D31D0D" w:rsidRDefault="00BB2481" w:rsidP="007879F6">
            <w:pPr>
              <w:jc w:val="both"/>
              <w:rPr>
                <w:rFonts w:ascii="Open Sans" w:hAnsi="Open Sans" w:cs="Open Sans"/>
                <w:b/>
                <w:noProof/>
                <w:color w:val="1C3943"/>
                <w:sz w:val="20"/>
                <w:szCs w:val="20"/>
                <w:shd w:val="clear" w:color="auto" w:fill="FFFFFF"/>
                <w:lang w:eastAsia="hu-HU"/>
              </w:rPr>
            </w:pPr>
            <w:r w:rsidRPr="00D31D0D">
              <w:rPr>
                <w:rFonts w:ascii="Open Sans" w:hAnsi="Open Sans" w:cs="Open Sans"/>
                <w:b/>
                <w:noProof/>
                <w:color w:val="1C3943"/>
                <w:sz w:val="20"/>
                <w:szCs w:val="20"/>
                <w:shd w:val="clear" w:color="auto" w:fill="FFFFFF"/>
                <w:lang w:eastAsia="hu-HU"/>
              </w:rPr>
              <w:drawing>
                <wp:inline distT="0" distB="0" distL="0" distR="0" wp14:anchorId="5BCEA37B" wp14:editId="216287C4">
                  <wp:extent cx="2790908" cy="2021002"/>
                  <wp:effectExtent l="0" t="0" r="0" b="0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1915" cy="20289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</w:tcPr>
          <w:p w14:paraId="394F40A5" w14:textId="35C64C9F" w:rsidR="00BB2481" w:rsidRPr="00D31D0D" w:rsidRDefault="00BB2481" w:rsidP="007879F6">
            <w:pPr>
              <w:jc w:val="both"/>
              <w:rPr>
                <w:rFonts w:ascii="Open Sans" w:hAnsi="Open Sans" w:cs="Open Sans"/>
                <w:b/>
                <w:noProof/>
                <w:color w:val="1C3943"/>
                <w:sz w:val="20"/>
                <w:szCs w:val="20"/>
                <w:shd w:val="clear" w:color="auto" w:fill="FFFFFF"/>
                <w:lang w:eastAsia="hu-HU"/>
              </w:rPr>
            </w:pPr>
            <w:r w:rsidRPr="00D31D0D">
              <w:rPr>
                <w:rFonts w:ascii="Open Sans" w:hAnsi="Open Sans" w:cs="Open Sans"/>
                <w:b/>
                <w:noProof/>
                <w:color w:val="1C3943"/>
                <w:sz w:val="20"/>
                <w:szCs w:val="20"/>
                <w:shd w:val="clear" w:color="auto" w:fill="FFFFFF"/>
                <w:lang w:eastAsia="hu-HU"/>
              </w:rPr>
              <w:drawing>
                <wp:inline distT="0" distB="0" distL="0" distR="0" wp14:anchorId="13763E5D" wp14:editId="3A433E04">
                  <wp:extent cx="2645796" cy="1924215"/>
                  <wp:effectExtent l="0" t="0" r="2540" b="0"/>
                  <wp:docPr id="10" name="Ké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814" cy="19409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9674A8" w14:textId="77777777" w:rsidR="00BB2481" w:rsidRDefault="00BB2481" w:rsidP="007879F6">
      <w:pPr>
        <w:jc w:val="both"/>
        <w:rPr>
          <w:rFonts w:ascii="Open Sans" w:hAnsi="Open Sans" w:cs="Open Sans"/>
          <w:b/>
          <w:color w:val="1C3943"/>
          <w:sz w:val="20"/>
          <w:szCs w:val="20"/>
          <w:highlight w:val="yellow"/>
          <w:shd w:val="clear" w:color="auto" w:fill="FFFFFF"/>
        </w:rPr>
      </w:pPr>
    </w:p>
    <w:p w14:paraId="681AE638" w14:textId="1EC5EF8F" w:rsidR="004F3EB6" w:rsidRDefault="007879F6" w:rsidP="007879F6">
      <w:p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 w:rsidRP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 xml:space="preserve">Kiemelkedő feladat volt az év során </w:t>
      </w:r>
      <w:r w:rsid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a</w:t>
      </w:r>
      <w:r w:rsidRP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 xml:space="preserve"> P</w:t>
      </w:r>
      <w:r w:rsid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 xml:space="preserve">aksi </w:t>
      </w:r>
      <w:r w:rsidRP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A</w:t>
      </w:r>
      <w:r w:rsid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tomerőmű</w:t>
      </w:r>
      <w:r w:rsidRP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 xml:space="preserve"> </w:t>
      </w:r>
      <w:r w:rsidR="004F3EB6" w:rsidRP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ú</w:t>
      </w:r>
      <w:r w:rsidRP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j</w:t>
      </w:r>
      <w:r w:rsidR="004F3EB6" w:rsidRP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 xml:space="preserve"> típusú</w:t>
      </w:r>
      <w:r w:rsidRP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 xml:space="preserve">, </w:t>
      </w:r>
      <w:r w:rsid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ú</w:t>
      </w:r>
      <w:r w:rsidR="004F3EB6" w:rsidRP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 xml:space="preserve">n. </w:t>
      </w:r>
      <w:r w:rsidRP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SLIM fűtőelem</w:t>
      </w:r>
      <w:r w:rsidR="006A6172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-</w:t>
      </w:r>
      <w:r w:rsidRP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 xml:space="preserve">tesztkazettáinak </w:t>
      </w:r>
      <w:r w:rsidR="004F3EB6" w:rsidRP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engedélyezése</w:t>
      </w:r>
      <w:r w:rsidR="007C0E3D" w:rsidRP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.</w:t>
      </w:r>
      <w:r w:rsid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 xml:space="preserve"> </w:t>
      </w:r>
      <w:r w:rsidR="004F3EB6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 Paksi Atomerőmű 18 db, új </w:t>
      </w:r>
      <w:r w:rsidR="00EB59E7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típusú, </w:t>
      </w:r>
      <w:r w:rsidR="004F3EB6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víz-urán arányra optimalizált ún. SLIM-üzemanyag tesztelését kezdte meg. Ez az új üzemanyagtípus a jelenlegihez képest vékonyabb pálcaburkolattal és furat nélküli pasztillákkal gazdaságosabb üzemanyag</w:t>
      </w:r>
      <w:r w:rsid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-</w:t>
      </w:r>
      <w:proofErr w:type="gramStart"/>
      <w:r w:rsidR="004F3EB6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lastRenderedPageBreak/>
        <w:t>felhasználást</w:t>
      </w:r>
      <w:proofErr w:type="gramEnd"/>
      <w:r w:rsidR="004F3EB6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tesz lehetővé. Az üzemeltetés pozitív tapasztalatai alapján kerülhet majd sor a kazetták általános alkalmazás</w:t>
      </w:r>
      <w:r w:rsid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á</w:t>
      </w:r>
      <w:r w:rsidR="004F3EB6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nak engedélyezésére. </w:t>
      </w:r>
    </w:p>
    <w:p w14:paraId="09477E1F" w14:textId="6714AD64" w:rsidR="00E07A30" w:rsidRDefault="00C34476" w:rsidP="00E07A30">
      <w:p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 xml:space="preserve">Az OAH kiadta az RHK Kft. számára </w:t>
      </w:r>
      <w:r w:rsidR="00E07A30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a KKÁT ú</w:t>
      </w:r>
      <w:r w:rsidR="00E07A30" w:rsidRPr="00584210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j üzemeltetési engedély</w:t>
      </w:r>
      <w:r w:rsidR="00E07A30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é</w:t>
      </w:r>
      <w:r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t</w:t>
      </w:r>
      <w:r w:rsidR="00E07A30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 xml:space="preserve"> </w:t>
      </w:r>
      <w:r w:rsidR="00E07A30" w:rsidRPr="00584210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a Paksi Atomerőmű új típusú üzemanyagának kezelhetőségéhez</w:t>
      </w:r>
      <w:r w:rsidR="00E07A30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.</w:t>
      </w:r>
      <w:r w:rsidR="00E07A3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Az RHK Kft. 2019 végén kérelmezte a KKÁT korábbi üzemeltetési engedélyének módosítását többek között a Paksi Atomerőmű említett, új típusú, </w:t>
      </w:r>
      <w:r w:rsidR="00E07A30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víz-urán arányra optimalizált</w:t>
      </w:r>
      <w:r w:rsidR="00E07A3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r w:rsidR="00E07A30" w:rsidRPr="0058421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üzemanyag</w:t>
      </w:r>
      <w:r w:rsidR="006A6172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-</w:t>
      </w:r>
      <w:r w:rsidR="00E07A30" w:rsidRPr="0058421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kazett</w:t>
      </w:r>
      <w:r w:rsidR="00E07A3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áinak</w:t>
      </w:r>
      <w:r w:rsidR="00E07A30" w:rsidRPr="0058421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r w:rsidR="00E07A3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kezelése céljából. Az OAH az érintett szakhatóságok bevonásával elektronikus </w:t>
      </w:r>
      <w:proofErr w:type="spellStart"/>
      <w:r w:rsidR="00E07A3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közmeghallgatást</w:t>
      </w:r>
      <w:proofErr w:type="spellEnd"/>
      <w:r w:rsidR="00E07A3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tartott, és 2020. november 11-én új üzemeltetési engedélyt adott ki, melyben engedélyezte a KKÁT-</w:t>
      </w:r>
      <w:proofErr w:type="spellStart"/>
      <w:r w:rsidR="00E07A3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ban</w:t>
      </w:r>
      <w:proofErr w:type="spellEnd"/>
      <w:r w:rsidR="00E07A3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már korábban is kezelhető kazettatípusok mellett a hivatkozott új kazettatípusok </w:t>
      </w:r>
      <w:r w:rsidR="00E07A30" w:rsidRPr="0058421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beszállításá</w:t>
      </w:r>
      <w:r w:rsidR="00E07A3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t és</w:t>
      </w:r>
      <w:r w:rsidR="00E07A30" w:rsidRPr="0058421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tárolásá</w:t>
      </w:r>
      <w:r w:rsidR="00E07A30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t.</w:t>
      </w:r>
    </w:p>
    <w:p w14:paraId="16BE2110" w14:textId="31798AEB" w:rsidR="00E07A30" w:rsidRPr="00063253" w:rsidRDefault="00E07A30" w:rsidP="00E07A30">
      <w:pPr>
        <w:jc w:val="both"/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</w:pPr>
      <w:r w:rsidRPr="007E6E58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2020-ban megkezdődtek a KKÁT bővítése következő fázisának (III. ütem 3. fázis) építési tevékenységei</w:t>
      </w: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, melyeket – a KKÁT üzemeltetéséhez hasonlóan – az OAH folyamatosan felügyel. Ezen fázis eredményeként további 4 tárolókamrával – összesen 28 kamrásra – </w:t>
      </w:r>
      <w:r w:rsidR="00BB24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bővül</w:t>
      </w: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a létesítmény, további tárolókapacitást biztosítva a Paksi Atomerőmű kiégett üzemanyaga számára. </w:t>
      </w:r>
    </w:p>
    <w:p w14:paraId="6AFEE8BB" w14:textId="1ED31A1D" w:rsidR="001444F8" w:rsidRDefault="007D0769" w:rsidP="008E6CD2">
      <w:p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 xml:space="preserve">A </w:t>
      </w:r>
      <w:r w:rsidR="007C0E3D" w:rsidRP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Budapesti Kutatóreaktor üzemanyag-beszerzése.</w:t>
      </w:r>
      <w:r w:rsidR="007C0E3D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r w:rsidR="004F3EB6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 </w:t>
      </w:r>
      <w:r w:rsidR="007879F6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Budapesti Kutatóreaktor</w:t>
      </w:r>
      <w:r w:rsidR="004F3EB6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ba </w:t>
      </w:r>
      <w:r w:rsidR="007879F6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2020 augusztusában többéves üzemeltetéshez elegendő üzemanyagot szállított az oroszországi TVEL nukleárisfűtőanyag-gyára. Az üzemanyag</w:t>
      </w:r>
      <w:r w:rsidR="006A6172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-</w:t>
      </w:r>
      <w:r w:rsidR="007879F6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beszerzés az OAH felügyelete mellett zajlott</w:t>
      </w:r>
      <w:r w:rsidR="00F0266A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.</w:t>
      </w:r>
    </w:p>
    <w:p w14:paraId="1589B003" w14:textId="00E9AA7C" w:rsidR="00220CF7" w:rsidRDefault="008E6CD2" w:rsidP="008E6CD2">
      <w:p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 w:rsidRPr="00A54B6B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Új atomerőművi blokkok engedélyezése: zajlik a létesítésiengedély-kérelem feldolgozása, számos kisebb engedélyt adtunk ki, továbbá megkezdődött a létesítésiengedély-kérelem alapját képező Előzetes Biztonsági Jelentés nemzetközi felülvizsgálata.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A Paks II. Atomerőmű </w:t>
      </w:r>
      <w:proofErr w:type="spellStart"/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Zrt</w:t>
      </w:r>
      <w:proofErr w:type="spellEnd"/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. 2020. június 30-án nyújtotta be az OAH-hoz az új atomerőművi blokkok létesítésiengedély-kérelmét. Ennek elbírálása a hivatal fennállásának legnagyobb volumenű eljárása, számos szakterületet érint, valamint maga a benyújtott dokumentáció is több</w:t>
      </w:r>
      <w:r w:rsidR="00A3365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tízezer oldal terjedelmű. </w:t>
      </w:r>
      <w:r w:rsidR="00B837A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 létesítésiengedély</w:t>
      </w:r>
      <w:r w:rsidR="006A6172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-</w:t>
      </w:r>
      <w:r w:rsidR="00B837A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kérelemmel párhuzamosan </w:t>
      </w:r>
      <w:r w:rsidR="006A6172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Paks II. </w:t>
      </w:r>
      <w:r w:rsidR="00B837A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beküld</w:t>
      </w:r>
      <w:r w:rsidR="006A6172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te</w:t>
      </w:r>
      <w:r w:rsidR="00B837A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a nukleáris biztosítékokra </w:t>
      </w:r>
      <w:r w:rsidR="00B837A1" w:rsidRPr="00B837A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vonatkozó</w:t>
      </w:r>
      <w:r w:rsidR="00B837A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előzetes adatszolgáltatás</w:t>
      </w:r>
      <w:r w:rsidR="00BB24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.</w:t>
      </w:r>
      <w:r w:rsidR="00B837A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r w:rsidR="00BB24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Az </w:t>
      </w:r>
      <w:r w:rsidR="00B837A1" w:rsidRPr="00B837A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OAH megállapította, hogy a </w:t>
      </w:r>
      <w:proofErr w:type="gramStart"/>
      <w:r w:rsidR="00B837A1" w:rsidRPr="00B837A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dokumentum</w:t>
      </w:r>
      <w:proofErr w:type="gramEnd"/>
      <w:r w:rsidR="00B837A1" w:rsidRPr="00B837A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megfelelő tárgyalási alapot biztosít ahhoz, hogy a létesítendő erőművi blokkok biztosítéki rendszerének kialakítására irányuló egyeztetéseket a Nemzetközi Atomenergia Ügynökség, az Európai Bizottság, az OAH és </w:t>
      </w:r>
      <w:r w:rsidR="006A6172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 </w:t>
      </w:r>
      <w:r w:rsidR="00B837A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Paks II. Atomerőmű </w:t>
      </w:r>
      <w:proofErr w:type="spellStart"/>
      <w:r w:rsidR="00B837A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Zrt</w:t>
      </w:r>
      <w:proofErr w:type="spellEnd"/>
      <w:r w:rsidR="00B837A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.</w:t>
      </w:r>
      <w:r w:rsidR="00B837A1" w:rsidRPr="00B837A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képviselői </w:t>
      </w:r>
      <w:r w:rsidR="00B837A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le</w:t>
      </w:r>
      <w:r w:rsidR="00B837A1" w:rsidRPr="00B837A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folytassák</w:t>
      </w:r>
      <w:r w:rsidR="00B837A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.</w:t>
      </w:r>
      <w:r w:rsidR="002843ED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Az előzetes adatszolgálatatást az OAH összeveti az Előzetes Biztonsági Jelentéssel is.</w:t>
      </w:r>
      <w:r w:rsidR="00B837A1" w:rsidRPr="00B837A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2020 szeptemberében az OAH megkapta Paks II fizikai védelmi tervét</w:t>
      </w:r>
      <w:r w:rsidR="004C62FF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. 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 létesítési engedélyezési eljáráshoz kapcsolódóan közmeghallgatás</w:t>
      </w:r>
      <w:r w:rsidR="004C62FF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lesz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, </w:t>
      </w:r>
      <w:r w:rsidR="00220CF7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és 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 hatósági </w:t>
      </w:r>
      <w:r w:rsidR="004C62FF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eljárás várhatóan 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2021 </w:t>
      </w:r>
      <w:r w:rsidR="004C62FF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őszéig tart majd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.</w:t>
      </w:r>
    </w:p>
    <w:p w14:paraId="5735F555" w14:textId="38F25C18" w:rsidR="008E6CD2" w:rsidRPr="00220CF7" w:rsidRDefault="008E6CD2" w:rsidP="008E6CD2">
      <w:p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 w:rsidRPr="00220CF7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 felvonulási terület építményei kapcsán </w:t>
      </w:r>
      <w:r w:rsidR="00220CF7" w:rsidRPr="00220CF7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az előző év során </w:t>
      </w:r>
      <w:r w:rsidR="00220CF7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tíz</w:t>
      </w:r>
      <w:r w:rsidR="00220CF7" w:rsidRPr="00220CF7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, 2021 elején további két építési</w:t>
      </w:r>
      <w:r w:rsidR="00220CF7" w:rsidRPr="007E6E58">
        <w:rPr>
          <w:rFonts w:ascii="Open Sans" w:hAnsi="Open Sans"/>
          <w:color w:val="1C3943"/>
          <w:sz w:val="20"/>
          <w:shd w:val="clear" w:color="auto" w:fill="FFFFFF"/>
        </w:rPr>
        <w:t xml:space="preserve"> </w:t>
      </w:r>
      <w:r w:rsidRPr="00220CF7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engedélyt adott</w:t>
      </w:r>
      <w:r w:rsidR="00220CF7" w:rsidRPr="00220CF7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ki</w:t>
      </w:r>
      <w:r w:rsidRPr="00220CF7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az OAH (pl. irodaépület, étterem és konyha, betonkeverő üzem, betonvizsgáló laboratórium, acéltermékeket készítő műhely)</w:t>
      </w:r>
      <w:r w:rsidR="00220CF7" w:rsidRPr="00220CF7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. </w:t>
      </w:r>
    </w:p>
    <w:p w14:paraId="4BE06434" w14:textId="1B89F2C2" w:rsidR="00220CF7" w:rsidRPr="00C8283B" w:rsidRDefault="007C0E3D" w:rsidP="008E6CD2">
      <w:p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Az </w:t>
      </w:r>
      <w:r w:rsidR="004C62FF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új blokkokkal kapcsolatban az </w:t>
      </w:r>
      <w:r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OAH </w:t>
      </w:r>
      <w:r w:rsidR="004C62FF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további </w:t>
      </w:r>
      <w:r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r</w:t>
      </w:r>
      <w:r w:rsidR="007879F6"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övid és középtávon várható feladat</w:t>
      </w:r>
      <w:r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ai</w:t>
      </w:r>
      <w:r w:rsidR="00220CF7"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:</w:t>
      </w:r>
    </w:p>
    <w:p w14:paraId="701C312E" w14:textId="03091FCC" w:rsidR="00220CF7" w:rsidRPr="007E6E58" w:rsidRDefault="007C0E3D" w:rsidP="007E6E58">
      <w:pPr>
        <w:pStyle w:val="Listaszerbekezds"/>
        <w:numPr>
          <w:ilvl w:val="0"/>
          <w:numId w:val="9"/>
        </w:num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 w:rsidRPr="007E6E58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 h</w:t>
      </w:r>
      <w:r w:rsidR="004F3EB6" w:rsidRPr="007E6E58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osszú gyártási idejű berendezések </w:t>
      </w:r>
      <w:r w:rsidR="00220CF7" w:rsidRPr="007E6E58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(pl. reaktortartály, </w:t>
      </w:r>
      <w:proofErr w:type="spellStart"/>
      <w:r w:rsidR="00220CF7" w:rsidRPr="007E6E58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főkeringtető</w:t>
      </w:r>
      <w:proofErr w:type="spellEnd"/>
      <w:r w:rsidR="00220CF7" w:rsidRPr="007E6E58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szivattyú),</w:t>
      </w:r>
    </w:p>
    <w:p w14:paraId="7C0EE632" w14:textId="44C3C5C2" w:rsidR="00220CF7" w:rsidRPr="007E6E58" w:rsidRDefault="00220CF7" w:rsidP="007E6E58">
      <w:pPr>
        <w:pStyle w:val="Listaszerbekezds"/>
        <w:numPr>
          <w:ilvl w:val="0"/>
          <w:numId w:val="9"/>
        </w:num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 w:rsidRPr="007E6E58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 reaktorépülethez kapcsolódó földmunkák (talajelőkészítés, résfalazás),</w:t>
      </w:r>
    </w:p>
    <w:p w14:paraId="59A87114" w14:textId="36FD72C8" w:rsidR="00220CF7" w:rsidRPr="007E6E58" w:rsidRDefault="00220CF7" w:rsidP="007E6E58">
      <w:pPr>
        <w:pStyle w:val="Listaszerbekezds"/>
        <w:numPr>
          <w:ilvl w:val="0"/>
          <w:numId w:val="9"/>
        </w:num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 w:rsidRPr="007E6E58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az új atomerőművi blokkok építését és szerelését biztosító épületek </w:t>
      </w:r>
      <w:r w:rsidR="00F54BF8" w:rsidRPr="007E6E58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és </w:t>
      </w:r>
    </w:p>
    <w:p w14:paraId="34294543" w14:textId="66856390" w:rsidR="00F54BF8" w:rsidRPr="007E6E58" w:rsidRDefault="00F54BF8" w:rsidP="007E6E58">
      <w:pPr>
        <w:pStyle w:val="Listaszerbekezds"/>
        <w:numPr>
          <w:ilvl w:val="0"/>
          <w:numId w:val="9"/>
        </w:num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 w:rsidRPr="007E6E58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az új blokkok egyes építményeinek</w:t>
      </w:r>
    </w:p>
    <w:p w14:paraId="4C11970B" w14:textId="5A5A2588" w:rsidR="007879F6" w:rsidRDefault="004F3EB6" w:rsidP="008E6CD2">
      <w:p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proofErr w:type="gramStart"/>
      <w:r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engedélyezés</w:t>
      </w:r>
      <w:r w:rsidR="00220CF7"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e</w:t>
      </w:r>
      <w:proofErr w:type="gramEnd"/>
      <w:r w:rsidR="00220CF7"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, majd a tevékenységek ellenőrzése.</w:t>
      </w:r>
      <w:r w:rsidRPr="00C8283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</w:p>
    <w:p w14:paraId="7675CB53" w14:textId="77777777" w:rsidR="007C0E3D" w:rsidRPr="007D0769" w:rsidRDefault="007C0E3D" w:rsidP="007C0E3D">
      <w:p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proofErr w:type="gramStart"/>
      <w:r w:rsidRP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Intenzív</w:t>
      </w:r>
      <w:proofErr w:type="gramEnd"/>
      <w:r w:rsidRP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 xml:space="preserve"> nemzetk</w:t>
      </w:r>
      <w:r w:rsidRPr="007C0E3D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özi kapcsolatok online formában is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</w:p>
    <w:p w14:paraId="2006205F" w14:textId="14119948" w:rsidR="007C0E3D" w:rsidRPr="007D0769" w:rsidRDefault="007C0E3D" w:rsidP="007C0E3D">
      <w:pPr>
        <w:jc w:val="both"/>
        <w:rPr>
          <w:rFonts w:ascii="Open Sans" w:hAnsi="Open Sans" w:cs="Open Sans"/>
          <w:noProof/>
          <w:color w:val="1C3943"/>
          <w:sz w:val="20"/>
          <w:szCs w:val="20"/>
          <w:shd w:val="clear" w:color="auto" w:fill="FFFFFF"/>
        </w:rPr>
      </w:pP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AZ OAH nemzetközi kapcsolatai</w:t>
      </w:r>
      <w:r w:rsidR="00BB24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ra is rányomta a bélyegét a járványhelyzet 2020-ban. A 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kétoldalú kapcsolatok keretében személyesen csak a bolgár, a török és a finn hatóság </w:t>
      </w:r>
      <w:proofErr w:type="gramStart"/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delegációit</w:t>
      </w:r>
      <w:proofErr w:type="gramEnd"/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tudta fogadni a hivatal az év első negyedévében. Az év további időszakában az egyes nemzetközi 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lastRenderedPageBreak/>
        <w:t xml:space="preserve">szervezetek szerveinek ülései online formában zajlottak, a döntéshozatalokban fennakadás nem történt sem alacsonyabb munkacsoporti, sem felsőbb szinteken. A hivatal </w:t>
      </w:r>
      <w:proofErr w:type="gramStart"/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ezen</w:t>
      </w:r>
      <w:proofErr w:type="gramEnd"/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változó körülményekre gyorsan reagált, megteremtette az online feltételeket, így hazánk képviselete </w:t>
      </w:r>
      <w:r w:rsidR="00BB24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teljes</w:t>
      </w:r>
      <w:r w:rsidR="00C34476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r w:rsidR="00BB24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körű</w:t>
      </w:r>
      <w:r w:rsidR="00BB2481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volt. </w:t>
      </w:r>
    </w:p>
    <w:p w14:paraId="2614A1AC" w14:textId="10EB1198" w:rsidR="007C0E3D" w:rsidRPr="007D0769" w:rsidRDefault="007C0E3D" w:rsidP="007C0E3D">
      <w:p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2019 szeptembere óta hazánk a </w:t>
      </w:r>
      <w:r w:rsidR="00BB24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NAÜ</w:t>
      </w:r>
      <w:r w:rsidR="004C62FF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Kormányzótanácsának tagja, 2020-ban is Magyarország </w:t>
      </w:r>
      <w:r w:rsidR="00BB24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(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 legmagasabb szinten közvetlenül és az OAH hozzájárulásával</w:t>
      </w:r>
      <w:r w:rsidR="00BB24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)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proofErr w:type="gramStart"/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aktívan</w:t>
      </w:r>
      <w:proofErr w:type="gramEnd"/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részt vett a NAÜ döntéshozatali mechanizmusában. 2020 márciusában került volna sor a Nukleáris Biztonsági Egyezményhez kapcsolódó Nyolcadik Felülvizsgálati Értekezletre, amelyet 2023-ra halasztott a NAÜ, továbbá a Közös Egyezmény keretében is benyújtottuk Hetedik Nemzeti Jelentésünket, amelyhez kapcsolódó 7. Felülvizsgálati Értekezletet a NAÜ </w:t>
      </w: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szintén el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halasztotta a járványhelyzet miatt. </w:t>
      </w:r>
    </w:p>
    <w:p w14:paraId="008B1011" w14:textId="77777777" w:rsidR="007D0769" w:rsidRDefault="007C0E3D" w:rsidP="007C0E3D">
      <w:p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2021-ben a NAÜ a kiégett kazetták és a radioaktív hulladékok kezelésének rendszerét vizsgálja majd felül az ARTEMIS-misszió keretében, amelyre hazánk </w:t>
      </w:r>
      <w:r w:rsid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jelenleg állítja össze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r w:rsid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előzetes </w:t>
      </w: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önértékelési </w:t>
      </w:r>
      <w:proofErr w:type="gramStart"/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dokumentumát</w:t>
      </w:r>
      <w:proofErr w:type="gramEnd"/>
      <w:r w:rsidRPr="007C0E3D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, amely alapját képezi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a missziónak. </w:t>
      </w:r>
    </w:p>
    <w:p w14:paraId="71F401B6" w14:textId="55797CC4" w:rsidR="007C0E3D" w:rsidRPr="007D0769" w:rsidRDefault="007D0769" w:rsidP="007C0E3D">
      <w:p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2020 októberében megküldtük a NAÜ-nek az</w:t>
      </w: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új atomerőművi blokkok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Előzetes Biztonsági Jelentés</w:t>
      </w: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é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t, hogy az általuk </w:t>
      </w:r>
      <w:proofErr w:type="gramStart"/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koordinált</w:t>
      </w:r>
      <w:proofErr w:type="gramEnd"/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, nemzetközi szakértőkből álló csoport </w:t>
      </w:r>
      <w:r w:rsidR="009F5C3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értékelje 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 dokumentumot. </w:t>
      </w:r>
      <w:r w:rsidR="007C0E3D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2020 decemberében tartott üléssel kezdődött </w:t>
      </w:r>
      <w:r w:rsidR="009F5C3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meg </w:t>
      </w:r>
      <w:r w:rsidR="007C0E3D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 </w:t>
      </w:r>
      <w:proofErr w:type="gramStart"/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dokumentum</w:t>
      </w:r>
      <w:proofErr w:type="gramEnd"/>
      <w:r w:rsidR="007C0E3D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nemzetközi szakértői vizsgálata, amely alapján készülő záró jelentés végleges változata 2021. szeptemberére várható.</w:t>
      </w:r>
    </w:p>
    <w:p w14:paraId="38F2A365" w14:textId="7CB32168" w:rsidR="007C0E3D" w:rsidRDefault="007D0769" w:rsidP="008E6CD2">
      <w:p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 Nukleáris Biztonsági </w:t>
      </w:r>
      <w:r w:rsidR="00C34476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Irányelv</w:t>
      </w:r>
      <w:r w:rsidR="00C34476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által előírt </w:t>
      </w:r>
      <w:r w:rsidR="004C62FF"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uniós</w:t>
      </w:r>
      <w:r w:rsidR="004C62FF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, hatévente elvégzendő, 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tematikus szakértői </w:t>
      </w: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felül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vizsgálat (EU </w:t>
      </w:r>
      <w:proofErr w:type="spellStart"/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Topical</w:t>
      </w:r>
      <w:proofErr w:type="spellEnd"/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Peer </w:t>
      </w:r>
      <w:proofErr w:type="spellStart"/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Review</w:t>
      </w:r>
      <w:proofErr w:type="spellEnd"/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) </w:t>
      </w:r>
      <w:r w:rsidR="004C62FF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második tématerületéről döntött </w:t>
      </w:r>
      <w:r w:rsidR="004C62FF" w:rsidRPr="00977AEE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az Európai Nukleáris B</w:t>
      </w:r>
      <w:r w:rsidR="004C62FF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iztonsági Hatóságok Csoportja (ENSREG). A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tagállamoknak a tűzvédelem témakör</w:t>
      </w: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é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ben kell </w:t>
      </w:r>
      <w:r w:rsidR="004C62FF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2023-ban </w:t>
      </w:r>
      <w:r w:rsidR="006A6172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 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jelentéseiket benyújtani</w:t>
      </w:r>
      <w:r w:rsidR="006A6172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uk</w:t>
      </w:r>
      <w:r w:rsidRP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. A felkészülést a hivatal megkezdte.</w:t>
      </w:r>
    </w:p>
    <w:p w14:paraId="4F733DDF" w14:textId="77777777" w:rsidR="008E6CD2" w:rsidRPr="00A54B6B" w:rsidRDefault="008E6CD2" w:rsidP="008E6CD2">
      <w:p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 w:rsidRPr="00A54B6B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 xml:space="preserve">Csernobili erdőtűz: egészségre káros hatása nem volt itthon, folyamatosan követtük az ukrán hatóságok által közzétett </w:t>
      </w:r>
      <w:proofErr w:type="gramStart"/>
      <w:r w:rsidRPr="00A54B6B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információkat</w:t>
      </w:r>
      <w:proofErr w:type="gramEnd"/>
      <w:r w:rsidRPr="00A54B6B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, tájékoztattuk a hazai lakosságot.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2020 tavaszán a csernobili atomerőmű környékén jelentős kiterjedtségű és időben is elhúzódó erdőtüzek alakultak ki. Az OAH folyamatosan követte a hivatalosan közzétett </w:t>
      </w:r>
      <w:proofErr w:type="gramStart"/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információkat</w:t>
      </w:r>
      <w:proofErr w:type="gramEnd"/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, továbbá közvetlenül is felvette az ukrán nukleáris hatósággal a kapcsolatot, emellett rendszeresen tájékoztatta a hazai lakosságot a kialakult helyzetről. Magyarországon nem emelkedett meg a háttérsugárzás, az eseménynek nem volt az egészségre káros hatása hazánkban. Mindemellett a légkörbe került füstszennyezés miatt számos álhír látott napvilágot a közösségi médiában, amelyekre az OAH gyorsan és határozottan </w:t>
      </w:r>
      <w:proofErr w:type="gramStart"/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reagált</w:t>
      </w:r>
      <w:proofErr w:type="gramEnd"/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. </w:t>
      </w:r>
    </w:p>
    <w:p w14:paraId="1319683C" w14:textId="0CE8D469" w:rsidR="008E6CD2" w:rsidRPr="00A54B6B" w:rsidRDefault="008E6CD2" w:rsidP="008E6CD2">
      <w:pPr>
        <w:jc w:val="both"/>
        <w:rPr>
          <w:b/>
        </w:rPr>
      </w:pPr>
      <w:r w:rsidRPr="00A54B6B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A Paksi Atomerőmű blokkjainak újbóli üzemidő-hosszabbítása: a jogszabályok jelenleg nem teszik lehetővé.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A Pakson is üzemelő második </w:t>
      </w:r>
      <w:proofErr w:type="gramStart"/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generációs</w:t>
      </w:r>
      <w:proofErr w:type="gramEnd"/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atomerőművek nagyrészt az első generációs atomerőművek </w:t>
      </w:r>
      <w:proofErr w:type="spellStart"/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továbbfejlesztéseként</w:t>
      </w:r>
      <w:proofErr w:type="spellEnd"/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jöttek létre</w:t>
      </w:r>
      <w:r w:rsidR="00C34476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, amelynek 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eredményeként gazdaságosabbá, biztonságosabbá és üzembiztosabbá váltak</w:t>
      </w:r>
      <w:r w:rsidR="00C34476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.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r w:rsidR="00BB24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 m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egfelelő biztonsági szintet és a korszerűséget a folyamatos biztonságnövelés és az Időszakos Biztonsági Felülvizsgálatok </w:t>
      </w:r>
      <w:proofErr w:type="gramStart"/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garantálják</w:t>
      </w:r>
      <w:proofErr w:type="gramEnd"/>
      <w:r w:rsidR="00C34476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,</w:t>
      </w:r>
      <w:r w:rsidR="00C34476"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így </w:t>
      </w:r>
      <w:r w:rsidR="00C34476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 létesítmények </w:t>
      </w:r>
      <w:r w:rsidR="00C34476"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jelenleg is megfelelnek a megnövelt biztonsági és környezetvédelmi követelményeknek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.</w:t>
      </w: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Korábban 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az OAH által jóváhagyott program szerint végrehajtott több éves munka alapozta meg a további 20 év üzemidőt. </w:t>
      </w: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Az esetleges újabb üzemidő-hosszabbításhoz kapcsolódóan r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észletes vizsgálatokat kell végezni, hogy a nukleáris biztonsági követelményeknek való mindenkori megfelelés milyen technológiai megoldásokkal, beruházáso</w:t>
      </w: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kkal teljesíthető azért, hogy folyamatosan, még az esetleges hosszabbítás végén is 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lastRenderedPageBreak/>
        <w:t>megfelelő biztonsági tartalékkal rendelkezzenek a berendezések. Az újabb üzemidő-hosszabbítás gazdaságos megvalósíthatóságának megítélése nem az OAH hatásköre.</w:t>
      </w:r>
    </w:p>
    <w:p w14:paraId="50C07F91" w14:textId="77777777" w:rsidR="008E6CD2" w:rsidRDefault="008E6CD2" w:rsidP="008E6CD2">
      <w:pPr>
        <w:autoSpaceDE w:val="0"/>
        <w:autoSpaceDN w:val="0"/>
        <w:adjustRightInd w:val="0"/>
        <w:spacing w:after="120" w:line="240" w:lineRule="auto"/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 w:rsidRPr="00A54B6B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Boda: 2020-ban nem nyújtottak be a kutatásokhoz kapcsolódó engedélykérelmet az OAH-nak</w:t>
      </w:r>
      <w:r w:rsid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. A n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agy</w:t>
      </w:r>
      <w:proofErr w:type="gramStart"/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aktivitású</w:t>
      </w:r>
      <w:proofErr w:type="gramEnd"/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radioaktív hulladékok végleges elhelyezéséhez kapcsolódóan az OAH még 2019-ben fogadta el a </w:t>
      </w:r>
      <w:proofErr w:type="spellStart"/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bodai</w:t>
      </w:r>
      <w:proofErr w:type="spellEnd"/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térségre vonatkozó telephelykutatási keretprogramot. </w:t>
      </w:r>
      <w:r w:rsidR="00A27A7E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2020-ban nem in</w:t>
      </w:r>
      <w:r w:rsid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dult államigazgatási eljárás a h</w:t>
      </w:r>
      <w:r w:rsidR="00A27A7E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ulladéktároló ügyében.</w:t>
      </w:r>
      <w:r w:rsidRPr="00A54B6B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</w:p>
    <w:p w14:paraId="03EAB93E" w14:textId="418A1178" w:rsidR="007C0E3D" w:rsidRPr="007D0769" w:rsidRDefault="00BB5D38" w:rsidP="007D0769">
      <w:pPr>
        <w:autoSpaceDE w:val="0"/>
        <w:autoSpaceDN w:val="0"/>
        <w:adjustRightInd w:val="0"/>
        <w:spacing w:after="120" w:line="240" w:lineRule="auto"/>
        <w:jc w:val="both"/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</w:pPr>
      <w:r w:rsidRPr="00BB5D38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Veszélyhelyzet-kezelés</w:t>
      </w:r>
      <w:r w:rsidR="007D0769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 xml:space="preserve"> </w:t>
      </w:r>
      <w:r w:rsidR="007C0E3D"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 2020-as évben a </w:t>
      </w:r>
      <w:r w:rsidR="00BB24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járvány</w:t>
      </w:r>
      <w:r w:rsidR="007C0E3D"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helyzetre való tekintettel az </w:t>
      </w:r>
      <w:r w:rsidR="007C0E3D" w:rsidRPr="00C84127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OAH </w:t>
      </w:r>
      <w:r w:rsidR="007C0E3D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Baleset-elhárítási Szervezetének </w:t>
      </w:r>
      <w:r w:rsidR="007C0E3D"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tagjai </w:t>
      </w:r>
      <w:proofErr w:type="gramStart"/>
      <w:r w:rsidR="007C0E3D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virtuális</w:t>
      </w:r>
      <w:proofErr w:type="gramEnd"/>
      <w:r w:rsidR="007C0E3D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keretek között </w:t>
      </w:r>
      <w:r w:rsidR="007C0E3D"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gyakorolták a veszélyhelyzet-kezel</w:t>
      </w:r>
      <w:r w:rsidR="007C0E3D" w:rsidRPr="00C84127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éssel kapcsolatos feladataikat</w:t>
      </w:r>
      <w:r w:rsidR="007C0E3D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r w:rsid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</w:t>
      </w:r>
      <w:r w:rsidR="007C0E3D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NAÜ által szervezett CONVEX-2a és CONVEX-2c, valamint az Európai Bizottság ECUREX-2020 elnevezésű nemzetközi gyakorlat</w:t>
      </w:r>
      <w:r w:rsid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ain</w:t>
      </w:r>
      <w:r w:rsidR="007C0E3D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. Az ECUREX-2020-as gyakorlaton az unió tagországai, a társult államok és európai bizottság érintett szervezet</w:t>
      </w:r>
      <w:r w:rsidR="007D0769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e</w:t>
      </w:r>
      <w:r w:rsidR="007C0E3D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i vettek részt. A forgatókönyvet a </w:t>
      </w:r>
      <w:proofErr w:type="spellStart"/>
      <w:r w:rsidR="007C0E3D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fukusimai</w:t>
      </w:r>
      <w:proofErr w:type="spellEnd"/>
      <w:r w:rsidR="007C0E3D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baleset </w:t>
      </w:r>
      <w:r w:rsidR="00BB24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alapján állították össze</w:t>
      </w:r>
      <w:r w:rsidR="007C0E3D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, egy Európán kívüli atomerőművi balesetet dolgozott fel.</w:t>
      </w:r>
      <w:r w:rsidR="007C0E3D" w:rsidRPr="00056D4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r w:rsidR="007C0E3D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Az eljárások a rendhagyó helyzettől függetlenül is működőképesek voltak, a gyakorlaton részt</w:t>
      </w:r>
      <w:r w:rsidR="006A6172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r w:rsidR="007C0E3D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vevők maradéktalanul ellátták</w:t>
      </w:r>
      <w:r w:rsidR="00BB2481" w:rsidRPr="00BB24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r w:rsidR="00BB24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feladataikat</w:t>
      </w:r>
      <w:r w:rsidR="007C0E3D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.</w:t>
      </w:r>
    </w:p>
    <w:p w14:paraId="5ED131A6" w14:textId="6C12BB90" w:rsidR="007C0E3D" w:rsidRPr="007D0769" w:rsidRDefault="007C0E3D" w:rsidP="007D0769">
      <w:pPr>
        <w:jc w:val="both"/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</w:pPr>
      <w:r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Az eredeti tervek szerint 2020 októberében került volna sor a </w:t>
      </w:r>
      <w:r w:rsidR="00BB24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NAÜ</w:t>
      </w:r>
      <w:r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EPREV</w:t>
      </w:r>
      <w:r w:rsidR="006A6172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-</w:t>
      </w:r>
      <w:r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követőmissziójára, amelynek keretében nemzetközi szakértői </w:t>
      </w:r>
      <w:proofErr w:type="gramStart"/>
      <w:r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delegáció</w:t>
      </w:r>
      <w:proofErr w:type="gramEnd"/>
      <w:r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vizsgálta volna felül az előző, 2016-os misszió során, a hazai nukleárisbaleset-elhárítási rendszerrel kapcsolatban tett javaslatok és ajánlások hasznosulását. A felkészülés során, az OAH </w:t>
      </w:r>
      <w:proofErr w:type="gramStart"/>
      <w:r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koordinálásával</w:t>
      </w:r>
      <w:proofErr w:type="gramEnd"/>
      <w:r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a misszióban érintett szervezetek felülvizsgálták a 2016</w:t>
      </w:r>
      <w:r w:rsidR="006A6172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-ban</w:t>
      </w:r>
      <w:r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készített nemzeti önértékelést, valamint</w:t>
      </w: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benyújtották</w:t>
      </w:r>
      <w:r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az úgynevezett előzetes információs csomagot</w:t>
      </w:r>
      <w:r w:rsidR="00BB24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. Ennek </w:t>
      </w:r>
      <w:r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célja, hogy </w:t>
      </w:r>
      <w:r w:rsidR="00BB2481"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segítse a nemzetközi szakértők felkészülését </w:t>
      </w:r>
      <w:r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 kapcsolódó jogszabályok, illetve szabály</w:t>
      </w:r>
      <w:r w:rsidR="00BB24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o</w:t>
      </w:r>
      <w:r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zó </w:t>
      </w:r>
      <w:proofErr w:type="gramStart"/>
      <w:r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dokumentumok</w:t>
      </w:r>
      <w:proofErr w:type="gramEnd"/>
      <w:r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, valamint a korábban tett javaslatokra és ajánlásokra hozott intézkedések megvalósulásáról szóló információk bemutatásával.</w:t>
      </w:r>
      <w:r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</w:t>
      </w:r>
      <w:r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A járványhelyzet alakulása miatt azonban a követő</w:t>
      </w:r>
      <w:proofErr w:type="gramStart"/>
      <w:r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>missziót</w:t>
      </w:r>
      <w:proofErr w:type="gramEnd"/>
      <w:r w:rsidRPr="00E33E81">
        <w:rPr>
          <w:rFonts w:ascii="Open Sans" w:hAnsi="Open Sans" w:cs="Open Sans"/>
          <w:color w:val="1C3943"/>
          <w:sz w:val="20"/>
          <w:szCs w:val="20"/>
          <w:shd w:val="clear" w:color="auto" w:fill="FFFFFF"/>
        </w:rPr>
        <w:t xml:space="preserve"> át kellett ütemezni, arra várhatóan 2021 első felében kerül sor.</w:t>
      </w:r>
    </w:p>
    <w:p w14:paraId="1A6A9B01" w14:textId="632FA38A" w:rsidR="008E6CD2" w:rsidRDefault="00BB2481" w:rsidP="008E6CD2">
      <w:pPr>
        <w:jc w:val="both"/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noProof/>
          <w:color w:val="1C3943"/>
          <w:sz w:val="20"/>
          <w:szCs w:val="20"/>
          <w:lang w:eastAsia="hu-HU"/>
        </w:rPr>
        <w:drawing>
          <wp:anchor distT="0" distB="0" distL="114300" distR="114300" simplePos="0" relativeHeight="251662336" behindDoc="0" locked="0" layoutInCell="1" allowOverlap="1" wp14:anchorId="157C6642" wp14:editId="04FB48AE">
            <wp:simplePos x="0" y="0"/>
            <wp:positionH relativeFrom="column">
              <wp:posOffset>2805182</wp:posOffset>
            </wp:positionH>
            <wp:positionV relativeFrom="paragraph">
              <wp:posOffset>76338</wp:posOffset>
            </wp:positionV>
            <wp:extent cx="2900680" cy="2196465"/>
            <wp:effectExtent l="0" t="0" r="0" b="0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219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205" w:rsidRPr="00DF3205">
        <w:rPr>
          <w:rFonts w:ascii="Open Sans" w:hAnsi="Open Sans" w:cs="Open Sans"/>
          <w:b/>
          <w:color w:val="1C3943"/>
          <w:sz w:val="20"/>
          <w:szCs w:val="20"/>
          <w:shd w:val="clear" w:color="auto" w:fill="FFFFFF"/>
        </w:rPr>
        <w:t>Nyitottság és átláthatóság: az elmaradt rendezvények és a járványhelyzet ellenére számos hírt tettünk közzé.</w:t>
      </w:r>
      <w:r w:rsidR="00DF3205">
        <w:rPr>
          <w:b/>
        </w:rPr>
        <w:t xml:space="preserve"> </w:t>
      </w:r>
      <w:r w:rsidR="00DF3205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Összesen </w:t>
      </w:r>
      <w:r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189 </w:t>
      </w:r>
      <w:r w:rsidR="00DF3205" w:rsidRPr="003371C7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>hírben számoltunk be a hivatal tevékenységéről</w:t>
      </w:r>
      <w:r w:rsidR="006A6172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>.</w:t>
      </w:r>
      <w:r w:rsidR="00DF3205" w:rsidRPr="003371C7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 </w:t>
      </w:r>
      <w:r w:rsidR="006A6172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>R</w:t>
      </w:r>
      <w:r w:rsidR="00DF3205" w:rsidRPr="003371C7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észletesen foglalkoztunk a létesítményekkel, az atomenergia </w:t>
      </w:r>
      <w:proofErr w:type="gramStart"/>
      <w:r w:rsidR="00DF3205" w:rsidRPr="003371C7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>alkalmazásával</w:t>
      </w:r>
      <w:proofErr w:type="gramEnd"/>
      <w:r w:rsidR="00DF3205" w:rsidRPr="003371C7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 kapcsolatos eseményekkel, az atomerőmű karbantartásával, a Paks II-</w:t>
      </w:r>
      <w:proofErr w:type="spellStart"/>
      <w:r w:rsidR="00DF3205" w:rsidRPr="003371C7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>vel</w:t>
      </w:r>
      <w:proofErr w:type="spellEnd"/>
      <w:r w:rsidR="00DF3205" w:rsidRPr="003371C7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 kapcsolatos aktuális tevékenységekkel</w:t>
      </w:r>
      <w:r w:rsidR="00DF3205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>, valamint a csernobili erdőtűzhöz kapcsolódóan is aktívan tájékoztattuk a lakosságot</w:t>
      </w:r>
      <w:r w:rsidR="00DF3205" w:rsidRPr="003371C7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>.</w:t>
      </w:r>
      <w:r w:rsidR="00DF3205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 A járványhelyzetre vonatkozó ideiglenes jogszabályi követelményeknek megfelelően e</w:t>
      </w:r>
      <w:r w:rsidR="00DF3205" w:rsidRPr="00DF3205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lektronikus </w:t>
      </w:r>
      <w:proofErr w:type="spellStart"/>
      <w:r w:rsidR="00DF3205" w:rsidRPr="00DF3205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>közmeghallgatást</w:t>
      </w:r>
      <w:proofErr w:type="spellEnd"/>
      <w:r w:rsidR="00DF3205" w:rsidRPr="00DF3205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 tartottunk a KKÁT üzemeltetési engedélyének módosításához kapcsolódó engedélyezési eljárás során. </w:t>
      </w:r>
      <w:r w:rsidR="00DF3205" w:rsidRPr="003371C7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A lakosság bevonását más területen is biztosítottuk: </w:t>
      </w:r>
      <w:r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>húsz</w:t>
      </w:r>
      <w:r w:rsidRPr="003371C7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 </w:t>
      </w:r>
      <w:r w:rsidR="00DF3205" w:rsidRPr="003371C7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útmutató-tervezetet tettünk közzé véleményezésre. </w:t>
      </w:r>
      <w:r w:rsidR="0073136F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>2020-ban az „Atomenergiáról – mindenkinek” elnevezésű</w:t>
      </w:r>
      <w:r w:rsidR="00BF7F03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, tavaszi és őszi </w:t>
      </w:r>
      <w:r w:rsidR="0073136F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>rendezvény</w:t>
      </w:r>
      <w:r w:rsidR="00BF7F03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>ü</w:t>
      </w:r>
      <w:r w:rsidR="007E6E58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>n</w:t>
      </w:r>
      <w:r w:rsidR="0073136F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k elmaradt, a járványhelyzettől függően legközelebb </w:t>
      </w:r>
      <w:r w:rsidR="007D0769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várhatóan </w:t>
      </w:r>
      <w:r w:rsidR="0073136F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2021 őszén kerül rá sor. </w:t>
      </w:r>
    </w:p>
    <w:p w14:paraId="06C925D9" w14:textId="5F3A9375" w:rsidR="007C0E3D" w:rsidRPr="00DF3205" w:rsidRDefault="007C0E3D" w:rsidP="008E6CD2">
      <w:pPr>
        <w:jc w:val="both"/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</w:pPr>
      <w:r w:rsidRPr="007D0769">
        <w:rPr>
          <w:rFonts w:ascii="Open Sans" w:eastAsia="Times New Roman" w:hAnsi="Open Sans" w:cs="Open Sans"/>
          <w:b/>
          <w:color w:val="1C3943"/>
          <w:sz w:val="20"/>
          <w:szCs w:val="20"/>
          <w:lang w:eastAsia="en-GB"/>
        </w:rPr>
        <w:t>Továbbra is kihívást jelent a munkaerőhiány a hivatalnak.</w:t>
      </w:r>
      <w:r w:rsidRPr="007D0769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 Még a 2019-es létszámzárlat során az OAH eredetileg tervezett létszámát közel tizedével csökkentették. A hivatal az előtte álló jelentős hatósági feladatokhoz és eljárásokhoz igazodva, ütemezetten határozta meg a munkaerő-szükségletet. Mindez jelentős kihívások elé állítja a szervezetet, mivel munkaerő-felvételre csak a </w:t>
      </w:r>
      <w:r w:rsidRPr="007D0769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lastRenderedPageBreak/>
        <w:t>kilépő, nyugdíjba vonuló munkatársak pótlásakor kerülhet sor. Ezt a helyzetet nehezíti, hogy jelenleg hazánkban a teljes nukleáris iparnak jelentős a mérnökszükséglete.</w:t>
      </w:r>
    </w:p>
    <w:p w14:paraId="6DBD96F3" w14:textId="77777777" w:rsidR="00DF05F7" w:rsidRDefault="00D52470">
      <w:pPr>
        <w:spacing w:after="120" w:line="240" w:lineRule="auto"/>
        <w:jc w:val="both"/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</w:pPr>
      <w:r w:rsidRPr="00D52470">
        <w:rPr>
          <w:rFonts w:ascii="Open Sans" w:eastAsia="Times New Roman" w:hAnsi="Open Sans" w:cs="Open Sans"/>
          <w:b/>
          <w:color w:val="1C3943"/>
          <w:sz w:val="20"/>
          <w:szCs w:val="20"/>
          <w:lang w:eastAsia="en-GB"/>
        </w:rPr>
        <w:t>Idén 30 éves az OAH</w:t>
      </w:r>
      <w:r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>, jelentősebb ünneplésre – a járványhelyzetre való tekintettel - nem kerül sor. Mindemellett fontos évfordulót jelent, az elmúlt évtized hozta a legjelentősebb változásokat, úgy a feladatkörök bővülését tekintve, mint az OAH személyi állományának növekedését.</w:t>
      </w:r>
      <w:r w:rsidR="00983F05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 Míg korábban néhány nagyobb engedélyese volt a hivatalnak, most már mintegy 4000 ügyfél hatósági felügyeletét látja el az OAH.</w:t>
      </w:r>
      <w:r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 Ez számos </w:t>
      </w:r>
      <w:r w:rsidR="00983F05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>kihívás elé állította a szervezetet</w:t>
      </w:r>
      <w:r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>, viszont e</w:t>
      </w:r>
      <w:r w:rsidR="00983F05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gyúttal lehetőséget teremtett az atomenergia felhasználásához kapcsolódó követelmények </w:t>
      </w:r>
      <w:proofErr w:type="spellStart"/>
      <w:r w:rsidR="00983F05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>összehangoltabb</w:t>
      </w:r>
      <w:proofErr w:type="spellEnd"/>
      <w:r w:rsidR="00983F05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>, egyértelműbb</w:t>
      </w:r>
      <w:r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 meghatározására. A nukleáris biztonság, védettség, sugárvédelem és a biztosítéki rendszer felügyelete így már egy hatósághoz, az OAH-hoz tartozik, ami több szempontból is előnyös a terület szabályozását</w:t>
      </w:r>
      <w:r w:rsidR="00983F05"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 és felügyeletét</w:t>
      </w:r>
      <w:r>
        <w:rPr>
          <w:rFonts w:ascii="Open Sans" w:eastAsia="Times New Roman" w:hAnsi="Open Sans" w:cs="Open Sans"/>
          <w:color w:val="1C3943"/>
          <w:sz w:val="20"/>
          <w:szCs w:val="20"/>
          <w:lang w:eastAsia="en-GB"/>
        </w:rPr>
        <w:t xml:space="preserve"> illetően. Hisszük, hogy a harminc éves tapasztalat megteremti a jövőbeni fejlesztések szakmai alapjait.  </w:t>
      </w:r>
    </w:p>
    <w:sectPr w:rsidR="00DF05F7" w:rsidSect="006D3E76">
      <w:head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0991F" w14:textId="77777777" w:rsidR="00F07BFD" w:rsidRDefault="00F07BFD" w:rsidP="00815129">
      <w:pPr>
        <w:spacing w:after="0" w:line="240" w:lineRule="auto"/>
      </w:pPr>
      <w:r>
        <w:separator/>
      </w:r>
    </w:p>
  </w:endnote>
  <w:endnote w:type="continuationSeparator" w:id="0">
    <w:p w14:paraId="1067C32A" w14:textId="77777777" w:rsidR="00F07BFD" w:rsidRDefault="00F07BFD" w:rsidP="00815129">
      <w:pPr>
        <w:spacing w:after="0" w:line="240" w:lineRule="auto"/>
      </w:pPr>
      <w:r>
        <w:continuationSeparator/>
      </w:r>
    </w:p>
  </w:endnote>
  <w:endnote w:type="continuationNotice" w:id="1">
    <w:p w14:paraId="3F34BC4F" w14:textId="77777777" w:rsidR="00F07BFD" w:rsidRDefault="00F07B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Sans-Semi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A4DE0" w14:textId="77777777" w:rsidR="00F07BFD" w:rsidRDefault="00F07BFD" w:rsidP="00815129">
      <w:pPr>
        <w:spacing w:after="0" w:line="240" w:lineRule="auto"/>
      </w:pPr>
      <w:r>
        <w:separator/>
      </w:r>
    </w:p>
  </w:footnote>
  <w:footnote w:type="continuationSeparator" w:id="0">
    <w:p w14:paraId="3D682EF6" w14:textId="77777777" w:rsidR="00F07BFD" w:rsidRDefault="00F07BFD" w:rsidP="00815129">
      <w:pPr>
        <w:spacing w:after="0" w:line="240" w:lineRule="auto"/>
      </w:pPr>
      <w:r>
        <w:continuationSeparator/>
      </w:r>
    </w:p>
  </w:footnote>
  <w:footnote w:type="continuationNotice" w:id="1">
    <w:p w14:paraId="5207654B" w14:textId="77777777" w:rsidR="00F07BFD" w:rsidRDefault="00F07B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850721"/>
      <w:docPartObj>
        <w:docPartGallery w:val="Page Numbers (Top of Page)"/>
        <w:docPartUnique/>
      </w:docPartObj>
    </w:sdtPr>
    <w:sdtEndPr/>
    <w:sdtContent>
      <w:p w14:paraId="63252B80" w14:textId="29741193" w:rsidR="00815129" w:rsidRDefault="0081512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F0C">
          <w:rPr>
            <w:noProof/>
          </w:rPr>
          <w:t>4</w:t>
        </w:r>
        <w:r>
          <w:fldChar w:fldCharType="end"/>
        </w:r>
      </w:p>
    </w:sdtContent>
  </w:sdt>
  <w:p w14:paraId="2402B547" w14:textId="77777777" w:rsidR="00815129" w:rsidRDefault="0081512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BAC"/>
    <w:multiLevelType w:val="hybridMultilevel"/>
    <w:tmpl w:val="501A5952"/>
    <w:lvl w:ilvl="0" w:tplc="0D7C9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A2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E27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22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C5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02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A4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A9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88C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437904"/>
    <w:multiLevelType w:val="hybridMultilevel"/>
    <w:tmpl w:val="9F343E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1798B"/>
    <w:multiLevelType w:val="hybridMultilevel"/>
    <w:tmpl w:val="4350AD2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1A5252"/>
    <w:multiLevelType w:val="hybridMultilevel"/>
    <w:tmpl w:val="D18A56AE"/>
    <w:lvl w:ilvl="0" w:tplc="BEF4370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54551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3424240" w:tentative="1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E7B88" w:tentative="1">
      <w:start w:val="1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56D204" w:tentative="1">
      <w:start w:val="1"/>
      <w:numFmt w:val="bullet"/>
      <w:lvlText w:val="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0DBCE" w:tentative="1">
      <w:start w:val="1"/>
      <w:numFmt w:val="bullet"/>
      <w:lvlText w:val="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E1210" w:tentative="1">
      <w:start w:val="1"/>
      <w:numFmt w:val="bullet"/>
      <w:lvlText w:val="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C0B1E0" w:tentative="1">
      <w:start w:val="1"/>
      <w:numFmt w:val="bullet"/>
      <w:lvlText w:val="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1EA100" w:tentative="1">
      <w:start w:val="1"/>
      <w:numFmt w:val="bullet"/>
      <w:lvlText w:val="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86496"/>
    <w:multiLevelType w:val="hybridMultilevel"/>
    <w:tmpl w:val="4EF8F300"/>
    <w:lvl w:ilvl="0" w:tplc="CAC0C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923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08C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A8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26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4C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8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FA7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E0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9B20D4"/>
    <w:multiLevelType w:val="hybridMultilevel"/>
    <w:tmpl w:val="1E2CE86E"/>
    <w:lvl w:ilvl="0" w:tplc="8254551E"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5000"/>
    <w:multiLevelType w:val="hybridMultilevel"/>
    <w:tmpl w:val="932449FE"/>
    <w:lvl w:ilvl="0" w:tplc="1B9EC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40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A7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4B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8C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4C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EF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7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EE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88F0B05"/>
    <w:multiLevelType w:val="hybridMultilevel"/>
    <w:tmpl w:val="6076E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E14A1"/>
    <w:multiLevelType w:val="hybridMultilevel"/>
    <w:tmpl w:val="142ADF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94"/>
    <w:rsid w:val="00014A74"/>
    <w:rsid w:val="00014E97"/>
    <w:rsid w:val="00016DF5"/>
    <w:rsid w:val="00023982"/>
    <w:rsid w:val="00052D80"/>
    <w:rsid w:val="00062C70"/>
    <w:rsid w:val="000665D8"/>
    <w:rsid w:val="000678F4"/>
    <w:rsid w:val="00073399"/>
    <w:rsid w:val="000D4D90"/>
    <w:rsid w:val="000D60EC"/>
    <w:rsid w:val="000F006F"/>
    <w:rsid w:val="000F0BB9"/>
    <w:rsid w:val="000F0EF9"/>
    <w:rsid w:val="000F5216"/>
    <w:rsid w:val="001012D2"/>
    <w:rsid w:val="00106D28"/>
    <w:rsid w:val="001141DF"/>
    <w:rsid w:val="00130976"/>
    <w:rsid w:val="00131D3E"/>
    <w:rsid w:val="00143A3C"/>
    <w:rsid w:val="001444F8"/>
    <w:rsid w:val="00147B99"/>
    <w:rsid w:val="001520D3"/>
    <w:rsid w:val="00157C8B"/>
    <w:rsid w:val="00180C38"/>
    <w:rsid w:val="00187EFA"/>
    <w:rsid w:val="001A7A7F"/>
    <w:rsid w:val="001B47AB"/>
    <w:rsid w:val="001C2828"/>
    <w:rsid w:val="001C41B5"/>
    <w:rsid w:val="001C6EC1"/>
    <w:rsid w:val="001D3C0B"/>
    <w:rsid w:val="001E1D94"/>
    <w:rsid w:val="001E7577"/>
    <w:rsid w:val="001F0EA5"/>
    <w:rsid w:val="00203E35"/>
    <w:rsid w:val="002155E6"/>
    <w:rsid w:val="0021735B"/>
    <w:rsid w:val="00217680"/>
    <w:rsid w:val="00220CF7"/>
    <w:rsid w:val="002332C6"/>
    <w:rsid w:val="00254A64"/>
    <w:rsid w:val="00256CA6"/>
    <w:rsid w:val="00257494"/>
    <w:rsid w:val="00262A06"/>
    <w:rsid w:val="0026533F"/>
    <w:rsid w:val="00283250"/>
    <w:rsid w:val="002843ED"/>
    <w:rsid w:val="002A0F74"/>
    <w:rsid w:val="002A4935"/>
    <w:rsid w:val="002C286C"/>
    <w:rsid w:val="002C7F2C"/>
    <w:rsid w:val="002D59B5"/>
    <w:rsid w:val="002E23DC"/>
    <w:rsid w:val="002E469B"/>
    <w:rsid w:val="002E4B0E"/>
    <w:rsid w:val="002E5DB4"/>
    <w:rsid w:val="002E6029"/>
    <w:rsid w:val="003073EE"/>
    <w:rsid w:val="00314247"/>
    <w:rsid w:val="00322DB3"/>
    <w:rsid w:val="003371C7"/>
    <w:rsid w:val="00337AA9"/>
    <w:rsid w:val="00337FFD"/>
    <w:rsid w:val="003528E1"/>
    <w:rsid w:val="003623A4"/>
    <w:rsid w:val="0037078D"/>
    <w:rsid w:val="00371052"/>
    <w:rsid w:val="0037422E"/>
    <w:rsid w:val="00376CCD"/>
    <w:rsid w:val="00377CF9"/>
    <w:rsid w:val="00386AF2"/>
    <w:rsid w:val="00386FF2"/>
    <w:rsid w:val="00393861"/>
    <w:rsid w:val="003A0C1C"/>
    <w:rsid w:val="003A6126"/>
    <w:rsid w:val="003B3BDF"/>
    <w:rsid w:val="003B7A9D"/>
    <w:rsid w:val="003F7621"/>
    <w:rsid w:val="00401D67"/>
    <w:rsid w:val="00414638"/>
    <w:rsid w:val="004147F1"/>
    <w:rsid w:val="004339AF"/>
    <w:rsid w:val="004364E8"/>
    <w:rsid w:val="004370F6"/>
    <w:rsid w:val="00440CB5"/>
    <w:rsid w:val="00441D30"/>
    <w:rsid w:val="00450943"/>
    <w:rsid w:val="00451E69"/>
    <w:rsid w:val="004529B1"/>
    <w:rsid w:val="00454FA4"/>
    <w:rsid w:val="00483493"/>
    <w:rsid w:val="0049088B"/>
    <w:rsid w:val="00497A68"/>
    <w:rsid w:val="004A76CF"/>
    <w:rsid w:val="004A78AB"/>
    <w:rsid w:val="004B098E"/>
    <w:rsid w:val="004B2D5A"/>
    <w:rsid w:val="004B2E40"/>
    <w:rsid w:val="004B7D1E"/>
    <w:rsid w:val="004C62FF"/>
    <w:rsid w:val="004D4B85"/>
    <w:rsid w:val="004F3EB6"/>
    <w:rsid w:val="004F52AD"/>
    <w:rsid w:val="00500D43"/>
    <w:rsid w:val="005038EE"/>
    <w:rsid w:val="005167D5"/>
    <w:rsid w:val="0052154D"/>
    <w:rsid w:val="005237AA"/>
    <w:rsid w:val="00536E4D"/>
    <w:rsid w:val="005549CD"/>
    <w:rsid w:val="00561C3F"/>
    <w:rsid w:val="005669F0"/>
    <w:rsid w:val="00566E5B"/>
    <w:rsid w:val="00596088"/>
    <w:rsid w:val="005A7C6C"/>
    <w:rsid w:val="005B02BC"/>
    <w:rsid w:val="005D1947"/>
    <w:rsid w:val="005D6F24"/>
    <w:rsid w:val="0060619B"/>
    <w:rsid w:val="006172A6"/>
    <w:rsid w:val="00627AA6"/>
    <w:rsid w:val="00631F69"/>
    <w:rsid w:val="00643189"/>
    <w:rsid w:val="00644ED3"/>
    <w:rsid w:val="00647FC7"/>
    <w:rsid w:val="0065792C"/>
    <w:rsid w:val="00657D63"/>
    <w:rsid w:val="00662F9F"/>
    <w:rsid w:val="0067028C"/>
    <w:rsid w:val="0067285B"/>
    <w:rsid w:val="0067324E"/>
    <w:rsid w:val="006875EE"/>
    <w:rsid w:val="00690FD5"/>
    <w:rsid w:val="00693B10"/>
    <w:rsid w:val="006A2A75"/>
    <w:rsid w:val="006A6172"/>
    <w:rsid w:val="006A7A2C"/>
    <w:rsid w:val="006D3E3E"/>
    <w:rsid w:val="006D3E76"/>
    <w:rsid w:val="006E040D"/>
    <w:rsid w:val="006E271B"/>
    <w:rsid w:val="00705683"/>
    <w:rsid w:val="00706F0C"/>
    <w:rsid w:val="00717111"/>
    <w:rsid w:val="00720B58"/>
    <w:rsid w:val="00731261"/>
    <w:rsid w:val="0073136F"/>
    <w:rsid w:val="00740809"/>
    <w:rsid w:val="0074092B"/>
    <w:rsid w:val="00743CE6"/>
    <w:rsid w:val="00743EA7"/>
    <w:rsid w:val="00745D44"/>
    <w:rsid w:val="007556B5"/>
    <w:rsid w:val="00767686"/>
    <w:rsid w:val="0077490B"/>
    <w:rsid w:val="007879F6"/>
    <w:rsid w:val="007A1805"/>
    <w:rsid w:val="007A2B57"/>
    <w:rsid w:val="007C0E3D"/>
    <w:rsid w:val="007C2FEC"/>
    <w:rsid w:val="007C4552"/>
    <w:rsid w:val="007C4C96"/>
    <w:rsid w:val="007C56F4"/>
    <w:rsid w:val="007D0769"/>
    <w:rsid w:val="007D1D4A"/>
    <w:rsid w:val="007D5854"/>
    <w:rsid w:val="007E2462"/>
    <w:rsid w:val="007E2FBC"/>
    <w:rsid w:val="007E639A"/>
    <w:rsid w:val="007E6E58"/>
    <w:rsid w:val="007F01D2"/>
    <w:rsid w:val="007F1108"/>
    <w:rsid w:val="007F4021"/>
    <w:rsid w:val="007F5F67"/>
    <w:rsid w:val="007F7917"/>
    <w:rsid w:val="00807C76"/>
    <w:rsid w:val="0081156C"/>
    <w:rsid w:val="00814D5D"/>
    <w:rsid w:val="00815129"/>
    <w:rsid w:val="00840522"/>
    <w:rsid w:val="00840DF8"/>
    <w:rsid w:val="00847A27"/>
    <w:rsid w:val="008530BA"/>
    <w:rsid w:val="008570CB"/>
    <w:rsid w:val="00867F02"/>
    <w:rsid w:val="008767FB"/>
    <w:rsid w:val="00876DA4"/>
    <w:rsid w:val="008805DA"/>
    <w:rsid w:val="008860AB"/>
    <w:rsid w:val="008A60B4"/>
    <w:rsid w:val="008E02C9"/>
    <w:rsid w:val="008E108C"/>
    <w:rsid w:val="008E6CD2"/>
    <w:rsid w:val="008E78CB"/>
    <w:rsid w:val="008F6599"/>
    <w:rsid w:val="00905B68"/>
    <w:rsid w:val="00911C5C"/>
    <w:rsid w:val="009425C4"/>
    <w:rsid w:val="00942F4B"/>
    <w:rsid w:val="00950B72"/>
    <w:rsid w:val="0095655B"/>
    <w:rsid w:val="009619E2"/>
    <w:rsid w:val="009626C0"/>
    <w:rsid w:val="00973824"/>
    <w:rsid w:val="00977243"/>
    <w:rsid w:val="00983E94"/>
    <w:rsid w:val="00983F05"/>
    <w:rsid w:val="00984ACA"/>
    <w:rsid w:val="009956EF"/>
    <w:rsid w:val="009A1597"/>
    <w:rsid w:val="009D7B44"/>
    <w:rsid w:val="009F182F"/>
    <w:rsid w:val="009F36D7"/>
    <w:rsid w:val="009F5C39"/>
    <w:rsid w:val="00A00360"/>
    <w:rsid w:val="00A0704D"/>
    <w:rsid w:val="00A11C0B"/>
    <w:rsid w:val="00A27A7E"/>
    <w:rsid w:val="00A316B3"/>
    <w:rsid w:val="00A33659"/>
    <w:rsid w:val="00A35DB5"/>
    <w:rsid w:val="00A372AB"/>
    <w:rsid w:val="00A41CD5"/>
    <w:rsid w:val="00A75463"/>
    <w:rsid w:val="00A7763D"/>
    <w:rsid w:val="00A77C07"/>
    <w:rsid w:val="00A834D0"/>
    <w:rsid w:val="00A85D9D"/>
    <w:rsid w:val="00A91755"/>
    <w:rsid w:val="00A92CA1"/>
    <w:rsid w:val="00A96662"/>
    <w:rsid w:val="00A96D2C"/>
    <w:rsid w:val="00AB3768"/>
    <w:rsid w:val="00AB3AD7"/>
    <w:rsid w:val="00AC20F6"/>
    <w:rsid w:val="00AD103F"/>
    <w:rsid w:val="00AD150A"/>
    <w:rsid w:val="00AD1868"/>
    <w:rsid w:val="00B046B0"/>
    <w:rsid w:val="00B12E26"/>
    <w:rsid w:val="00B1369E"/>
    <w:rsid w:val="00B15899"/>
    <w:rsid w:val="00B15DB4"/>
    <w:rsid w:val="00B419D5"/>
    <w:rsid w:val="00B50B2E"/>
    <w:rsid w:val="00B618C0"/>
    <w:rsid w:val="00B7097E"/>
    <w:rsid w:val="00B727C9"/>
    <w:rsid w:val="00B80C96"/>
    <w:rsid w:val="00B837A1"/>
    <w:rsid w:val="00B87A46"/>
    <w:rsid w:val="00B92AB4"/>
    <w:rsid w:val="00BA4C5B"/>
    <w:rsid w:val="00BA6C81"/>
    <w:rsid w:val="00BB08ED"/>
    <w:rsid w:val="00BB2481"/>
    <w:rsid w:val="00BB57B9"/>
    <w:rsid w:val="00BB5D38"/>
    <w:rsid w:val="00BC3D90"/>
    <w:rsid w:val="00BD2596"/>
    <w:rsid w:val="00BD2789"/>
    <w:rsid w:val="00BD60DE"/>
    <w:rsid w:val="00BF7F03"/>
    <w:rsid w:val="00C00211"/>
    <w:rsid w:val="00C0079F"/>
    <w:rsid w:val="00C0348E"/>
    <w:rsid w:val="00C24530"/>
    <w:rsid w:val="00C260B7"/>
    <w:rsid w:val="00C26BE7"/>
    <w:rsid w:val="00C2722A"/>
    <w:rsid w:val="00C34476"/>
    <w:rsid w:val="00C409EA"/>
    <w:rsid w:val="00C41694"/>
    <w:rsid w:val="00C45C6A"/>
    <w:rsid w:val="00C606F5"/>
    <w:rsid w:val="00C639B6"/>
    <w:rsid w:val="00C657F3"/>
    <w:rsid w:val="00C71BFA"/>
    <w:rsid w:val="00C74C9B"/>
    <w:rsid w:val="00C82023"/>
    <w:rsid w:val="00C8283B"/>
    <w:rsid w:val="00C84971"/>
    <w:rsid w:val="00CA09F1"/>
    <w:rsid w:val="00CA7BC5"/>
    <w:rsid w:val="00CB0C0C"/>
    <w:rsid w:val="00CC500A"/>
    <w:rsid w:val="00CC76D8"/>
    <w:rsid w:val="00CC7A72"/>
    <w:rsid w:val="00CE17A4"/>
    <w:rsid w:val="00CF07A3"/>
    <w:rsid w:val="00CF10E3"/>
    <w:rsid w:val="00D05C6B"/>
    <w:rsid w:val="00D05E5E"/>
    <w:rsid w:val="00D067F8"/>
    <w:rsid w:val="00D154FD"/>
    <w:rsid w:val="00D17D98"/>
    <w:rsid w:val="00D21628"/>
    <w:rsid w:val="00D22869"/>
    <w:rsid w:val="00D31D0D"/>
    <w:rsid w:val="00D4143C"/>
    <w:rsid w:val="00D41B98"/>
    <w:rsid w:val="00D52470"/>
    <w:rsid w:val="00D5545F"/>
    <w:rsid w:val="00D56726"/>
    <w:rsid w:val="00D643CF"/>
    <w:rsid w:val="00D70900"/>
    <w:rsid w:val="00D871DB"/>
    <w:rsid w:val="00D90547"/>
    <w:rsid w:val="00D97DD1"/>
    <w:rsid w:val="00DA4DE1"/>
    <w:rsid w:val="00DA6F40"/>
    <w:rsid w:val="00DB207E"/>
    <w:rsid w:val="00DC1E72"/>
    <w:rsid w:val="00DC65FD"/>
    <w:rsid w:val="00DD0449"/>
    <w:rsid w:val="00DD151A"/>
    <w:rsid w:val="00DD328C"/>
    <w:rsid w:val="00DD5838"/>
    <w:rsid w:val="00DE69E8"/>
    <w:rsid w:val="00DF05F7"/>
    <w:rsid w:val="00DF16A8"/>
    <w:rsid w:val="00DF2849"/>
    <w:rsid w:val="00DF3205"/>
    <w:rsid w:val="00DF34A4"/>
    <w:rsid w:val="00DF63A0"/>
    <w:rsid w:val="00E00A5A"/>
    <w:rsid w:val="00E07A30"/>
    <w:rsid w:val="00E10283"/>
    <w:rsid w:val="00E1704E"/>
    <w:rsid w:val="00E2651C"/>
    <w:rsid w:val="00E34EC8"/>
    <w:rsid w:val="00E3762E"/>
    <w:rsid w:val="00E4256E"/>
    <w:rsid w:val="00E57877"/>
    <w:rsid w:val="00E70FB8"/>
    <w:rsid w:val="00E75236"/>
    <w:rsid w:val="00E763BE"/>
    <w:rsid w:val="00E87BF1"/>
    <w:rsid w:val="00EA1F02"/>
    <w:rsid w:val="00EB312C"/>
    <w:rsid w:val="00EB59E7"/>
    <w:rsid w:val="00ED6BA8"/>
    <w:rsid w:val="00EE4839"/>
    <w:rsid w:val="00EE69A8"/>
    <w:rsid w:val="00F0266A"/>
    <w:rsid w:val="00F05AA6"/>
    <w:rsid w:val="00F07BFD"/>
    <w:rsid w:val="00F1085C"/>
    <w:rsid w:val="00F15355"/>
    <w:rsid w:val="00F174C9"/>
    <w:rsid w:val="00F25C24"/>
    <w:rsid w:val="00F34A77"/>
    <w:rsid w:val="00F421C8"/>
    <w:rsid w:val="00F43C3D"/>
    <w:rsid w:val="00F474BD"/>
    <w:rsid w:val="00F54BF8"/>
    <w:rsid w:val="00F56E4A"/>
    <w:rsid w:val="00F60A8D"/>
    <w:rsid w:val="00F629D0"/>
    <w:rsid w:val="00F72964"/>
    <w:rsid w:val="00F74B8E"/>
    <w:rsid w:val="00F954C9"/>
    <w:rsid w:val="00FB54A4"/>
    <w:rsid w:val="00FC1570"/>
    <w:rsid w:val="00FC2E79"/>
    <w:rsid w:val="00FE620A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5CF7"/>
  <w15:docId w15:val="{FEE93E79-D102-4B2D-99CE-50BF26CE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62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376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7E63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E63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E63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63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639A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1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5129"/>
  </w:style>
  <w:style w:type="paragraph" w:styleId="llb">
    <w:name w:val="footer"/>
    <w:basedOn w:val="Norml"/>
    <w:link w:val="llbChar"/>
    <w:uiPriority w:val="99"/>
    <w:unhideWhenUsed/>
    <w:rsid w:val="0081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5129"/>
  </w:style>
  <w:style w:type="paragraph" w:styleId="Listaszerbekezds">
    <w:name w:val="List Paragraph"/>
    <w:basedOn w:val="Norml"/>
    <w:uiPriority w:val="34"/>
    <w:qFormat/>
    <w:rsid w:val="00B72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80C38"/>
    <w:rPr>
      <w:color w:val="0000FF"/>
      <w:u w:val="single"/>
    </w:rPr>
  </w:style>
  <w:style w:type="paragraph" w:styleId="Vltozat">
    <w:name w:val="Revision"/>
    <w:hidden/>
    <w:uiPriority w:val="99"/>
    <w:semiHidden/>
    <w:rsid w:val="00905B68"/>
    <w:pPr>
      <w:spacing w:after="0" w:line="240" w:lineRule="auto"/>
    </w:pPr>
  </w:style>
  <w:style w:type="table" w:styleId="Rcsostblzat">
    <w:name w:val="Table Grid"/>
    <w:basedOn w:val="Normltblzat"/>
    <w:uiPriority w:val="39"/>
    <w:rsid w:val="00A1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1">
    <w:name w:val="Plain Table 1"/>
    <w:basedOn w:val="Normltblzat"/>
    <w:uiPriority w:val="41"/>
    <w:rsid w:val="00A11C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rcsos25jellszn">
    <w:name w:val="Grid Table 2 Accent 5"/>
    <w:basedOn w:val="Normltblzat"/>
    <w:uiPriority w:val="47"/>
    <w:rsid w:val="00A11C0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5jellszn">
    <w:name w:val="Grid Table 4 Accent 5"/>
    <w:basedOn w:val="Normltblzat"/>
    <w:uiPriority w:val="49"/>
    <w:rsid w:val="00A11C0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6900">
          <w:marLeft w:val="43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917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36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412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112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29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884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8388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94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402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327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27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316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1544">
          <w:marLeft w:val="67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738">
          <w:marLeft w:val="67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57">
          <w:marLeft w:val="67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117">
          <w:marLeft w:val="67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358">
          <w:marLeft w:val="67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676">
          <w:marLeft w:val="67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084">
          <w:marLeft w:val="67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854">
          <w:marLeft w:val="43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E269-B1D5-4F9B-94E4-9CA94314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1864</Words>
  <Characters>13591</Characters>
  <DocSecurity>0</DocSecurity>
  <Lines>212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2020-01-22T12:52:00Z</cp:lastPrinted>
  <dcterms:created xsi:type="dcterms:W3CDTF">2021-01-19T06:37:00Z</dcterms:created>
  <dcterms:modified xsi:type="dcterms:W3CDTF">2021-01-19T13:17:00Z</dcterms:modified>
</cp:coreProperties>
</file>